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7EC" w14:textId="77777777" w:rsidR="00E62AB6" w:rsidRDefault="00E71921">
      <w:pPr>
        <w:spacing w:line="440" w:lineRule="exact"/>
        <w:jc w:val="left"/>
        <w:rPr>
          <w:rFonts w:ascii="宋体" w:eastAsia="仿宋" w:hAnsi="宋体"/>
          <w:sz w:val="28"/>
          <w:szCs w:val="28"/>
        </w:rPr>
      </w:pPr>
      <w:r>
        <w:rPr>
          <w:rFonts w:ascii="宋体" w:eastAsia="仿宋" w:hAnsi="宋体" w:hint="eastAsia"/>
          <w:sz w:val="28"/>
          <w:szCs w:val="28"/>
        </w:rPr>
        <w:t>附件</w:t>
      </w:r>
      <w:r>
        <w:rPr>
          <w:rFonts w:ascii="宋体" w:eastAsia="仿宋" w:hAnsi="宋体" w:hint="eastAsia"/>
          <w:sz w:val="28"/>
          <w:szCs w:val="28"/>
        </w:rPr>
        <w:t>3</w:t>
      </w:r>
    </w:p>
    <w:p w14:paraId="2C0D9379" w14:textId="77777777" w:rsidR="00E62AB6" w:rsidRDefault="00E71921">
      <w:pPr>
        <w:spacing w:line="440" w:lineRule="exact"/>
        <w:jc w:val="center"/>
        <w:rPr>
          <w:rFonts w:ascii="宋体" w:eastAsia="方正仿宋_GBK" w:hAnsi="宋体" w:cs="宋体"/>
          <w:b/>
          <w:bCs/>
          <w:sz w:val="36"/>
          <w:szCs w:val="36"/>
        </w:rPr>
      </w:pPr>
      <w:hyperlink r:id="rId6" w:tgtFrame="https://www.jswsrc.com.cn/article/_blank" w:tooltip="江苏省卫生高级考试考生健康申报及承诺书" w:history="1">
        <w:r>
          <w:rPr>
            <w:rStyle w:val="a4"/>
            <w:rFonts w:eastAsia="方正仿宋_GBK" w:hAnsi="方正仿宋_GBK" w:cs="方正仿宋_GBK" w:hint="eastAsia"/>
            <w:b/>
            <w:bCs/>
            <w:color w:val="auto"/>
            <w:sz w:val="36"/>
            <w:szCs w:val="36"/>
            <w:u w:val="none"/>
            <w:lang w:bidi="ar"/>
          </w:rPr>
          <w:t>健康申报承诺书</w:t>
        </w:r>
      </w:hyperlink>
    </w:p>
    <w:p w14:paraId="1FDF6186" w14:textId="77777777" w:rsidR="00E62AB6" w:rsidRDefault="00E62AB6">
      <w:pPr>
        <w:spacing w:line="440" w:lineRule="exact"/>
        <w:jc w:val="center"/>
        <w:rPr>
          <w:rFonts w:ascii="宋体" w:eastAsia="方正仿宋_GBK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295"/>
        <w:gridCol w:w="1422"/>
        <w:gridCol w:w="1274"/>
        <w:gridCol w:w="796"/>
        <w:gridCol w:w="1186"/>
      </w:tblGrid>
      <w:tr w:rsidR="00E62AB6" w14:paraId="0F95CA75" w14:textId="77777777">
        <w:trPr>
          <w:trHeight w:val="544"/>
        </w:trPr>
        <w:tc>
          <w:tcPr>
            <w:tcW w:w="924" w:type="dxa"/>
            <w:vAlign w:val="center"/>
          </w:tcPr>
          <w:p w14:paraId="57AD1FFB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/>
                <w:sz w:val="28"/>
                <w:szCs w:val="28"/>
              </w:rPr>
              <w:t>姓名</w:t>
            </w:r>
          </w:p>
        </w:tc>
        <w:tc>
          <w:tcPr>
            <w:tcW w:w="3295" w:type="dxa"/>
            <w:vAlign w:val="center"/>
          </w:tcPr>
          <w:p w14:paraId="27B0B2E8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40CC3623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14:paraId="7545BDF8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</w:tr>
      <w:tr w:rsidR="00E62AB6" w14:paraId="651FEEBA" w14:textId="77777777">
        <w:trPr>
          <w:trHeight w:val="694"/>
        </w:trPr>
        <w:tc>
          <w:tcPr>
            <w:tcW w:w="924" w:type="dxa"/>
            <w:vAlign w:val="center"/>
          </w:tcPr>
          <w:p w14:paraId="0084AB9F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单位</w:t>
            </w:r>
          </w:p>
        </w:tc>
        <w:tc>
          <w:tcPr>
            <w:tcW w:w="3295" w:type="dxa"/>
            <w:vAlign w:val="center"/>
          </w:tcPr>
          <w:p w14:paraId="7CB8A051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 w14:paraId="51EB2E0D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14:paraId="46527A05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</w:tr>
      <w:tr w:rsidR="00E62AB6" w14:paraId="70787411" w14:textId="77777777">
        <w:trPr>
          <w:trHeight w:val="978"/>
        </w:trPr>
        <w:tc>
          <w:tcPr>
            <w:tcW w:w="924" w:type="dxa"/>
            <w:vMerge w:val="restart"/>
            <w:vAlign w:val="center"/>
          </w:tcPr>
          <w:p w14:paraId="15163867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  <w:p w14:paraId="107E914D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流</w:t>
            </w:r>
          </w:p>
          <w:p w14:paraId="6298EE31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行</w:t>
            </w:r>
          </w:p>
          <w:p w14:paraId="1FF6C8FC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病</w:t>
            </w:r>
          </w:p>
          <w:p w14:paraId="598936B3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学</w:t>
            </w:r>
          </w:p>
          <w:p w14:paraId="000451FD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14:paraId="40CA0C09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 w14:paraId="223C86CC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070BF310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4FDD1138" w14:textId="77777777">
        <w:trPr>
          <w:trHeight w:val="1110"/>
        </w:trPr>
        <w:tc>
          <w:tcPr>
            <w:tcW w:w="924" w:type="dxa"/>
            <w:vMerge/>
          </w:tcPr>
          <w:p w14:paraId="5809A669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0541FC44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中高风险地区所在县（市、区）旅居史。</w:t>
            </w:r>
          </w:p>
        </w:tc>
        <w:tc>
          <w:tcPr>
            <w:tcW w:w="796" w:type="dxa"/>
            <w:vAlign w:val="center"/>
          </w:tcPr>
          <w:p w14:paraId="4F776251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2039E4F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4D937030" w14:textId="77777777">
        <w:trPr>
          <w:trHeight w:val="849"/>
        </w:trPr>
        <w:tc>
          <w:tcPr>
            <w:tcW w:w="924" w:type="dxa"/>
            <w:vMerge/>
          </w:tcPr>
          <w:p w14:paraId="6EEA66FC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317DC2FD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天内是否有本土聚集性疫情所在县（市、区）旅居史。</w:t>
            </w:r>
          </w:p>
        </w:tc>
        <w:tc>
          <w:tcPr>
            <w:tcW w:w="796" w:type="dxa"/>
            <w:vAlign w:val="center"/>
          </w:tcPr>
          <w:p w14:paraId="40AE3E0D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778F3FE7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4029095E" w14:textId="77777777">
        <w:trPr>
          <w:trHeight w:val="1110"/>
        </w:trPr>
        <w:tc>
          <w:tcPr>
            <w:tcW w:w="924" w:type="dxa"/>
            <w:vMerge/>
          </w:tcPr>
          <w:p w14:paraId="2C43B13D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3BF335CC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与确诊病例（含疑似病例、无症状感染者）有轨迹交叉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14:paraId="7C639545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136260D2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202738AB" w14:textId="77777777">
        <w:trPr>
          <w:trHeight w:val="1004"/>
        </w:trPr>
        <w:tc>
          <w:tcPr>
            <w:tcW w:w="924" w:type="dxa"/>
            <w:vMerge/>
          </w:tcPr>
          <w:p w14:paraId="01593404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562D4143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14:paraId="212D8FF1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6BF7E55E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6BA0B907" w14:textId="77777777">
        <w:trPr>
          <w:trHeight w:val="820"/>
        </w:trPr>
        <w:tc>
          <w:tcPr>
            <w:tcW w:w="924" w:type="dxa"/>
            <w:vMerge/>
          </w:tcPr>
          <w:p w14:paraId="1BB5B2CB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2498D1D7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 w14:paraId="15B6F282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2682310E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300E446E" w14:textId="77777777">
        <w:trPr>
          <w:trHeight w:val="856"/>
        </w:trPr>
        <w:tc>
          <w:tcPr>
            <w:tcW w:w="924" w:type="dxa"/>
            <w:vMerge/>
          </w:tcPr>
          <w:p w14:paraId="0FE744AC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3642292A" w14:textId="57184FF8" w:rsidR="00E62AB6" w:rsidRDefault="002A5C83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是否提供考试</w:t>
            </w:r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当天</w:t>
            </w:r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48</w:t>
            </w:r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小时内核酸阴性结果或</w:t>
            </w:r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24</w:t>
            </w:r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小时已采样证明（</w:t>
            </w:r>
            <w:proofErr w:type="gramStart"/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以返锡后</w:t>
            </w:r>
            <w:proofErr w:type="gramEnd"/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检测的为准）</w:t>
            </w:r>
          </w:p>
        </w:tc>
        <w:tc>
          <w:tcPr>
            <w:tcW w:w="796" w:type="dxa"/>
            <w:vAlign w:val="center"/>
          </w:tcPr>
          <w:p w14:paraId="23321051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52A8C805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1F254960" w14:textId="77777777">
        <w:trPr>
          <w:trHeight w:val="3030"/>
        </w:trPr>
        <w:tc>
          <w:tcPr>
            <w:tcW w:w="924" w:type="dxa"/>
            <w:vAlign w:val="center"/>
          </w:tcPr>
          <w:p w14:paraId="2E63F6EB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  <w:p w14:paraId="4C046FBC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14:paraId="613F5B62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14:paraId="56A1A181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承</w:t>
            </w:r>
          </w:p>
          <w:p w14:paraId="11BDC914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14:paraId="38D7B75E" w14:textId="77777777" w:rsidR="00E62AB6" w:rsidRDefault="00E71921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服从现场工作人员管理及疫情防控工作安排。</w:t>
            </w:r>
          </w:p>
          <w:p w14:paraId="46A26658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F3D0599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430CB14C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8FA8DF8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747C9906" w14:textId="77777777" w:rsidR="00E62AB6" w:rsidRDefault="00E71921">
      <w:pPr>
        <w:widowControl/>
        <w:snapToGrid w:val="0"/>
        <w:spacing w:line="660" w:lineRule="exact"/>
        <w:rPr>
          <w:rFonts w:ascii="微软雅黑" w:eastAsia="微软雅黑" w:hAnsi="微软雅黑"/>
          <w:sz w:val="24"/>
        </w:rPr>
      </w:pPr>
      <w:r>
        <w:rPr>
          <w:rFonts w:ascii="宋体" w:eastAsia="方正仿宋_GBK" w:hAnsi="宋体" w:hint="eastAsia"/>
          <w:sz w:val="32"/>
          <w:szCs w:val="32"/>
        </w:rPr>
        <w:t xml:space="preserve"> </w:t>
      </w:r>
    </w:p>
    <w:p w14:paraId="6B078160" w14:textId="77777777" w:rsidR="00E62AB6" w:rsidRDefault="00E62AB6"/>
    <w:sectPr w:rsidR="00E62AB6">
      <w:footerReference w:type="even" r:id="rId7"/>
      <w:footerReference w:type="default" r:id="rId8"/>
      <w:pgSz w:w="11850" w:h="16783"/>
      <w:pgMar w:top="1701" w:right="1474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AAF2" w14:textId="77777777" w:rsidR="00E71921" w:rsidRDefault="00E71921">
      <w:r>
        <w:separator/>
      </w:r>
    </w:p>
  </w:endnote>
  <w:endnote w:type="continuationSeparator" w:id="0">
    <w:p w14:paraId="7A06D05C" w14:textId="77777777" w:rsidR="00E71921" w:rsidRDefault="00E7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3C49" w14:textId="77777777" w:rsidR="00E62AB6" w:rsidRDefault="00E71921">
    <w:pPr>
      <w:pStyle w:val="a3"/>
      <w:rPr>
        <w:rFonts w:ascii="等线 Light" w:eastAsia="等线 Light" w:hAnsi="等线 Light"/>
        <w:sz w:val="28"/>
        <w:szCs w:val="28"/>
      </w:rPr>
    </w:pPr>
    <w:r>
      <w:rPr>
        <w:rFonts w:ascii="等线 Light" w:eastAsia="等线 Light" w:hAnsi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2</w:t>
    </w:r>
    <w:r>
      <w:rPr>
        <w:rFonts w:eastAsia="等线 Light"/>
        <w:sz w:val="28"/>
        <w:szCs w:val="28"/>
      </w:rPr>
      <w:fldChar w:fldCharType="end"/>
    </w:r>
    <w:r>
      <w:rPr>
        <w:rFonts w:ascii="等线 Light" w:eastAsia="等线 Light" w:hAnsi="等线 Light"/>
        <w:sz w:val="28"/>
        <w:szCs w:val="28"/>
        <w:lang w:val="zh-CN"/>
      </w:rPr>
      <w:t>—</w:t>
    </w:r>
  </w:p>
  <w:p w14:paraId="29476ECC" w14:textId="77777777" w:rsidR="00E62AB6" w:rsidRDefault="00E62A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20D7" w14:textId="77777777" w:rsidR="00E62AB6" w:rsidRDefault="00E71921">
    <w:pPr>
      <w:pStyle w:val="a3"/>
      <w:jc w:val="right"/>
      <w:rPr>
        <w:rFonts w:ascii="等线 Light" w:eastAsia="等线 Light" w:hAnsi="等线 Light"/>
        <w:sz w:val="28"/>
        <w:szCs w:val="28"/>
      </w:rPr>
    </w:pPr>
    <w:r>
      <w:rPr>
        <w:rFonts w:ascii="等线 Light" w:eastAsia="等线 Light" w:hAnsi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1</w:t>
    </w:r>
    <w:r>
      <w:rPr>
        <w:rFonts w:eastAsia="等线 Light"/>
        <w:sz w:val="28"/>
        <w:szCs w:val="28"/>
      </w:rPr>
      <w:fldChar w:fldCharType="end"/>
    </w:r>
    <w:r>
      <w:rPr>
        <w:rFonts w:ascii="等线 Light" w:eastAsia="等线 Light" w:hAnsi="等线 Light"/>
        <w:sz w:val="28"/>
        <w:szCs w:val="28"/>
        <w:lang w:val="zh-CN"/>
      </w:rPr>
      <w:t>—</w:t>
    </w:r>
  </w:p>
  <w:p w14:paraId="0279A057" w14:textId="77777777" w:rsidR="00E62AB6" w:rsidRDefault="00E62A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5AC4" w14:textId="77777777" w:rsidR="00E71921" w:rsidRDefault="00E71921">
      <w:r>
        <w:separator/>
      </w:r>
    </w:p>
  </w:footnote>
  <w:footnote w:type="continuationSeparator" w:id="0">
    <w:p w14:paraId="7B8FC0E2" w14:textId="77777777" w:rsidR="00E71921" w:rsidRDefault="00E7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FmMDIzOTJkNjExYzU2NTMzYjIxNTljNGVlY2I2OGYifQ=="/>
  </w:docVars>
  <w:rsids>
    <w:rsidRoot w:val="60E671C8"/>
    <w:rsid w:val="00267BD3"/>
    <w:rsid w:val="002A5C83"/>
    <w:rsid w:val="00D27D6F"/>
    <w:rsid w:val="00D864A3"/>
    <w:rsid w:val="00E62AB6"/>
    <w:rsid w:val="00E71921"/>
    <w:rsid w:val="1C417723"/>
    <w:rsid w:val="59A8129C"/>
    <w:rsid w:val="60DE1438"/>
    <w:rsid w:val="6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3B7D9"/>
  <w15:docId w15:val="{02E15671-65C0-495F-8683-B0F521AA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2A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A5C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wsrc.com.cn/article/index.php?c=show&amp;id=15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董露</dc:creator>
  <cp:lastModifiedBy>User</cp:lastModifiedBy>
  <cp:revision>3</cp:revision>
  <dcterms:created xsi:type="dcterms:W3CDTF">2022-06-13T08:17:00Z</dcterms:created>
  <dcterms:modified xsi:type="dcterms:W3CDTF">2022-08-01T06:26:00Z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E41441C4593E4E30BB960B3234A3A89B</vt:lpwstr>
  </property>
</Properties>
</file>