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795"/>
        <w:gridCol w:w="780"/>
        <w:gridCol w:w="1650"/>
        <w:gridCol w:w="1875"/>
        <w:gridCol w:w="5205"/>
        <w:gridCol w:w="2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05"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附件</w:t>
            </w:r>
            <w:r>
              <w:rPr>
                <w:rFonts w:hint="eastAsia" w:ascii="宋体" w:hAnsi="宋体" w:cs="宋体"/>
                <w:i w:val="0"/>
                <w:color w:val="000000"/>
                <w:kern w:val="0"/>
                <w:sz w:val="28"/>
                <w:szCs w:val="28"/>
                <w:u w:val="none"/>
                <w:lang w:val="en-US" w:eastAsia="zh-CN" w:bidi="ar"/>
              </w:rPr>
              <w:t>1</w:t>
            </w:r>
          </w:p>
        </w:tc>
        <w:tc>
          <w:tcPr>
            <w:tcW w:w="795" w:type="dxa"/>
            <w:tcBorders>
              <w:top w:val="nil"/>
              <w:left w:val="nil"/>
              <w:bottom w:val="nil"/>
              <w:right w:val="nil"/>
            </w:tcBorders>
            <w:noWrap w:val="0"/>
            <w:vAlign w:val="center"/>
          </w:tcPr>
          <w:p>
            <w:pPr>
              <w:rPr>
                <w:rFonts w:hint="eastAsia" w:ascii="宋体" w:hAnsi="宋体" w:eastAsia="宋体" w:cs="宋体"/>
                <w:i w:val="0"/>
                <w:color w:val="000000"/>
                <w:sz w:val="28"/>
                <w:szCs w:val="28"/>
                <w:u w:val="none"/>
              </w:rPr>
            </w:pPr>
          </w:p>
        </w:tc>
        <w:tc>
          <w:tcPr>
            <w:tcW w:w="780" w:type="dxa"/>
            <w:tcBorders>
              <w:top w:val="nil"/>
              <w:left w:val="nil"/>
              <w:bottom w:val="nil"/>
              <w:right w:val="nil"/>
            </w:tcBorders>
            <w:noWrap w:val="0"/>
            <w:vAlign w:val="center"/>
          </w:tcPr>
          <w:p>
            <w:pPr>
              <w:rPr>
                <w:rFonts w:hint="eastAsia" w:ascii="宋体" w:hAnsi="宋体" w:eastAsia="宋体" w:cs="宋体"/>
                <w:i w:val="0"/>
                <w:color w:val="000000"/>
                <w:sz w:val="28"/>
                <w:szCs w:val="28"/>
                <w:u w:val="none"/>
              </w:rPr>
            </w:pPr>
          </w:p>
        </w:tc>
        <w:tc>
          <w:tcPr>
            <w:tcW w:w="1650" w:type="dxa"/>
            <w:tcBorders>
              <w:top w:val="nil"/>
              <w:left w:val="nil"/>
              <w:bottom w:val="nil"/>
              <w:right w:val="nil"/>
            </w:tcBorders>
            <w:noWrap w:val="0"/>
            <w:vAlign w:val="center"/>
          </w:tcPr>
          <w:p>
            <w:pPr>
              <w:rPr>
                <w:rFonts w:hint="eastAsia" w:ascii="宋体" w:hAnsi="宋体" w:eastAsia="宋体" w:cs="宋体"/>
                <w:i w:val="0"/>
                <w:color w:val="000000"/>
                <w:sz w:val="28"/>
                <w:szCs w:val="28"/>
                <w:u w:val="none"/>
              </w:rPr>
            </w:pPr>
          </w:p>
        </w:tc>
        <w:tc>
          <w:tcPr>
            <w:tcW w:w="1875" w:type="dxa"/>
            <w:tcBorders>
              <w:top w:val="nil"/>
              <w:left w:val="nil"/>
              <w:bottom w:val="nil"/>
              <w:right w:val="nil"/>
            </w:tcBorders>
            <w:noWrap w:val="0"/>
            <w:vAlign w:val="center"/>
          </w:tcPr>
          <w:p>
            <w:pPr>
              <w:rPr>
                <w:rFonts w:hint="eastAsia" w:ascii="宋体" w:hAnsi="宋体" w:eastAsia="宋体" w:cs="宋体"/>
                <w:i w:val="0"/>
                <w:color w:val="000000"/>
                <w:sz w:val="28"/>
                <w:szCs w:val="28"/>
                <w:u w:val="none"/>
              </w:rPr>
            </w:pPr>
          </w:p>
        </w:tc>
        <w:tc>
          <w:tcPr>
            <w:tcW w:w="5205" w:type="dxa"/>
            <w:tcBorders>
              <w:top w:val="nil"/>
              <w:left w:val="nil"/>
              <w:bottom w:val="nil"/>
              <w:right w:val="nil"/>
            </w:tcBorders>
            <w:noWrap w:val="0"/>
            <w:vAlign w:val="center"/>
          </w:tcPr>
          <w:p>
            <w:pPr>
              <w:rPr>
                <w:rFonts w:hint="eastAsia" w:ascii="宋体" w:hAnsi="宋体" w:eastAsia="宋体" w:cs="宋体"/>
                <w:i w:val="0"/>
                <w:color w:val="000000"/>
                <w:sz w:val="28"/>
                <w:szCs w:val="28"/>
                <w:u w:val="none"/>
              </w:rPr>
            </w:pPr>
          </w:p>
        </w:tc>
        <w:tc>
          <w:tcPr>
            <w:tcW w:w="2459" w:type="dxa"/>
            <w:tcBorders>
              <w:top w:val="nil"/>
              <w:left w:val="nil"/>
              <w:bottom w:val="nil"/>
              <w:right w:val="nil"/>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069" w:type="dxa"/>
            <w:gridSpan w:val="7"/>
            <w:tcBorders>
              <w:top w:val="nil"/>
              <w:left w:val="nil"/>
              <w:bottom w:val="nil"/>
              <w:right w:val="nil"/>
            </w:tcBorders>
            <w:noWrap w:val="0"/>
            <w:vAlign w:val="center"/>
          </w:tcPr>
          <w:p>
            <w:pPr>
              <w:keepNext w:val="0"/>
              <w:keepLines w:val="0"/>
              <w:pageBreakBefore w:val="0"/>
              <w:kinsoku/>
              <w:wordWrap/>
              <w:overflowPunct/>
              <w:topLinePunct w:val="0"/>
              <w:bidi w:val="0"/>
              <w:snapToGrid/>
              <w:spacing w:line="520" w:lineRule="exact"/>
              <w:jc w:val="center"/>
              <w:textAlignment w:val="auto"/>
              <w:rPr>
                <w:rFonts w:hint="eastAsia" w:ascii="宋体" w:hAnsi="宋体" w:eastAsia="宋体" w:cs="宋体"/>
                <w:b/>
                <w:i w:val="0"/>
                <w:color w:val="000000"/>
                <w:sz w:val="44"/>
                <w:szCs w:val="44"/>
                <w:u w:val="none"/>
              </w:rPr>
            </w:pPr>
            <w:r>
              <w:rPr>
                <w:rFonts w:hint="eastAsia" w:asciiTheme="majorEastAsia" w:hAnsiTheme="majorEastAsia" w:eastAsiaTheme="majorEastAsia" w:cstheme="majorEastAsia"/>
                <w:sz w:val="44"/>
                <w:szCs w:val="44"/>
              </w:rPr>
              <w:t>登封市</w:t>
            </w:r>
            <w:r>
              <w:rPr>
                <w:rFonts w:hint="eastAsia" w:asciiTheme="majorEastAsia" w:hAnsiTheme="majorEastAsia" w:eastAsiaTheme="majorEastAsia" w:cstheme="majorEastAsia"/>
                <w:sz w:val="44"/>
                <w:szCs w:val="44"/>
                <w:lang w:val="en-US" w:eastAsia="zh-CN"/>
              </w:rPr>
              <w:t>2022</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lang w:eastAsia="zh-CN"/>
              </w:rPr>
              <w:t>公开</w:t>
            </w:r>
            <w:r>
              <w:rPr>
                <w:rFonts w:hint="eastAsia" w:asciiTheme="majorEastAsia" w:hAnsiTheme="majorEastAsia" w:eastAsiaTheme="majorEastAsia" w:cstheme="majorEastAsia"/>
                <w:sz w:val="44"/>
                <w:szCs w:val="44"/>
              </w:rPr>
              <w:t>招聘</w:t>
            </w:r>
            <w:r>
              <w:rPr>
                <w:rFonts w:hint="eastAsia" w:asciiTheme="majorEastAsia" w:hAnsiTheme="majorEastAsia" w:eastAsiaTheme="majorEastAsia" w:cstheme="majorEastAsia"/>
                <w:sz w:val="44"/>
                <w:szCs w:val="44"/>
                <w:lang w:eastAsia="zh-CN"/>
              </w:rPr>
              <w:t>医学院校</w:t>
            </w:r>
            <w:r>
              <w:rPr>
                <w:rFonts w:hint="eastAsia" w:asciiTheme="majorEastAsia" w:hAnsiTheme="majorEastAsia" w:eastAsiaTheme="majorEastAsia" w:cstheme="majorEastAsia"/>
                <w:sz w:val="44"/>
                <w:szCs w:val="44"/>
              </w:rPr>
              <w:t>毕业生及特岗全科医生</w:t>
            </w:r>
            <w:r>
              <w:rPr>
                <w:rFonts w:hint="eastAsia" w:asciiTheme="majorEastAsia" w:hAnsiTheme="majorEastAsia" w:eastAsiaTheme="majorEastAsia" w:cstheme="majorEastAsia"/>
                <w:sz w:val="44"/>
                <w:szCs w:val="44"/>
                <w:lang w:eastAsia="zh-CN"/>
              </w:rPr>
              <w:t>岗位明细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岗位名称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代码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学历条件</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招聘条件</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特招</w:t>
            </w:r>
            <w:r>
              <w:rPr>
                <w:rFonts w:hint="eastAsia" w:ascii="仿宋" w:hAnsi="仿宋" w:eastAsia="仿宋" w:cs="仿宋"/>
                <w:i w:val="0"/>
                <w:color w:val="000000"/>
                <w:kern w:val="0"/>
                <w:sz w:val="22"/>
                <w:szCs w:val="22"/>
                <w:u w:val="none"/>
                <w:lang w:val="en-US" w:eastAsia="zh-CN" w:bidi="ar"/>
              </w:rPr>
              <w:t>医学院校</w:t>
            </w:r>
            <w:r>
              <w:rPr>
                <w:rFonts w:hint="default" w:ascii="仿宋" w:hAnsi="仿宋" w:eastAsia="仿宋" w:cs="仿宋"/>
                <w:i w:val="0"/>
                <w:color w:val="000000"/>
                <w:kern w:val="0"/>
                <w:sz w:val="22"/>
                <w:szCs w:val="22"/>
                <w:u w:val="none"/>
                <w:lang w:val="en-US" w:eastAsia="zh-CN" w:bidi="ar"/>
              </w:rPr>
              <w:t>毕业生</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临床医学</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普通高等教育本科学历，并取得对应的学位。</w:t>
            </w:r>
          </w:p>
        </w:tc>
        <w:tc>
          <w:tcPr>
            <w:tcW w:w="5205"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  年龄在</w:t>
            </w:r>
            <w:r>
              <w:rPr>
                <w:rFonts w:hint="eastAsia" w:ascii="仿宋" w:hAnsi="仿宋" w:eastAsia="仿宋" w:cs="仿宋"/>
                <w:i w:val="0"/>
                <w:color w:val="000000"/>
                <w:kern w:val="0"/>
                <w:sz w:val="22"/>
                <w:szCs w:val="22"/>
                <w:u w:val="none"/>
                <w:lang w:val="en-US" w:eastAsia="zh-CN" w:bidi="ar"/>
              </w:rPr>
              <w:t>40</w:t>
            </w:r>
            <w:r>
              <w:rPr>
                <w:rFonts w:hint="default" w:ascii="仿宋" w:hAnsi="仿宋" w:eastAsia="仿宋" w:cs="仿宋"/>
                <w:i w:val="0"/>
                <w:color w:val="000000"/>
                <w:kern w:val="0"/>
                <w:sz w:val="22"/>
                <w:szCs w:val="22"/>
                <w:u w:val="none"/>
                <w:lang w:val="en-US" w:eastAsia="zh-CN" w:bidi="ar"/>
              </w:rPr>
              <w:t>周岁以下</w:t>
            </w:r>
            <w:bookmarkStart w:id="0" w:name="_GoBack"/>
            <w:bookmarkEnd w:id="0"/>
            <w:r>
              <w:rPr>
                <w:rFonts w:hint="default" w:ascii="仿宋" w:hAnsi="仿宋" w:eastAsia="仿宋" w:cs="仿宋"/>
                <w:i w:val="0"/>
                <w:color w:val="000000"/>
                <w:kern w:val="0"/>
                <w:sz w:val="22"/>
                <w:szCs w:val="22"/>
                <w:u w:val="none"/>
                <w:lang w:val="en-US" w:eastAsia="zh-CN" w:bidi="ar"/>
              </w:rPr>
              <w:t>（198</w:t>
            </w:r>
            <w:r>
              <w:rPr>
                <w:rFonts w:hint="eastAsia" w:ascii="仿宋" w:hAnsi="仿宋" w:eastAsia="仿宋" w:cs="仿宋"/>
                <w:i w:val="0"/>
                <w:color w:val="000000"/>
                <w:kern w:val="0"/>
                <w:sz w:val="22"/>
                <w:szCs w:val="22"/>
                <w:u w:val="none"/>
                <w:lang w:val="en-US" w:eastAsia="zh-CN" w:bidi="ar"/>
              </w:rPr>
              <w:t>2</w:t>
            </w:r>
            <w:r>
              <w:rPr>
                <w:rFonts w:hint="default" w:ascii="仿宋" w:hAnsi="仿宋" w:eastAsia="仿宋" w:cs="仿宋"/>
                <w:i w:val="0"/>
                <w:color w:val="000000"/>
                <w:kern w:val="0"/>
                <w:sz w:val="22"/>
                <w:szCs w:val="22"/>
                <w:u w:val="none"/>
                <w:lang w:val="en-US" w:eastAsia="zh-CN" w:bidi="ar"/>
              </w:rPr>
              <w:t>年</w:t>
            </w:r>
            <w:r>
              <w:rPr>
                <w:rFonts w:hint="eastAsia" w:ascii="仿宋" w:hAnsi="仿宋" w:eastAsia="仿宋" w:cs="仿宋"/>
                <w:i w:val="0"/>
                <w:color w:val="000000"/>
                <w:kern w:val="0"/>
                <w:sz w:val="22"/>
                <w:szCs w:val="22"/>
                <w:u w:val="none"/>
                <w:lang w:val="en-US" w:eastAsia="zh-CN" w:bidi="ar"/>
              </w:rPr>
              <w:t>1</w:t>
            </w:r>
            <w:r>
              <w:rPr>
                <w:rFonts w:hint="default" w:ascii="仿宋" w:hAnsi="仿宋" w:eastAsia="仿宋" w:cs="仿宋"/>
                <w:i w:val="0"/>
                <w:color w:val="000000"/>
                <w:kern w:val="0"/>
                <w:sz w:val="22"/>
                <w:szCs w:val="22"/>
                <w:u w:val="none"/>
                <w:lang w:val="en-US" w:eastAsia="zh-CN" w:bidi="ar"/>
              </w:rPr>
              <w:t>月</w:t>
            </w:r>
            <w:r>
              <w:rPr>
                <w:rFonts w:hint="eastAsia" w:ascii="仿宋" w:hAnsi="仿宋" w:eastAsia="仿宋" w:cs="仿宋"/>
                <w:i w:val="0"/>
                <w:color w:val="000000"/>
                <w:kern w:val="0"/>
                <w:sz w:val="22"/>
                <w:szCs w:val="22"/>
                <w:u w:val="none"/>
                <w:lang w:val="en-US" w:eastAsia="zh-CN" w:bidi="ar"/>
              </w:rPr>
              <w:t>1</w:t>
            </w:r>
            <w:r>
              <w:rPr>
                <w:rFonts w:hint="default" w:ascii="仿宋" w:hAnsi="仿宋" w:eastAsia="仿宋" w:cs="仿宋"/>
                <w:i w:val="0"/>
                <w:color w:val="000000"/>
                <w:kern w:val="0"/>
                <w:sz w:val="22"/>
                <w:szCs w:val="22"/>
                <w:u w:val="none"/>
                <w:lang w:val="en-US" w:eastAsia="zh-CN" w:bidi="ar"/>
              </w:rPr>
              <w:t>日</w:t>
            </w:r>
            <w:r>
              <w:rPr>
                <w:rFonts w:hint="eastAsia" w:ascii="仿宋" w:hAnsi="仿宋" w:eastAsia="仿宋" w:cs="仿宋"/>
                <w:i w:val="0"/>
                <w:color w:val="000000"/>
                <w:kern w:val="0"/>
                <w:sz w:val="22"/>
                <w:szCs w:val="22"/>
                <w:u w:val="none"/>
                <w:lang w:val="en-US" w:eastAsia="zh-CN" w:bidi="ar"/>
              </w:rPr>
              <w:t>以后出生</w:t>
            </w:r>
            <w:r>
              <w:rPr>
                <w:rFonts w:hint="default" w:ascii="仿宋" w:hAnsi="仿宋" w:eastAsia="仿宋" w:cs="仿宋"/>
                <w:i w:val="0"/>
                <w:color w:val="000000"/>
                <w:kern w:val="0"/>
                <w:sz w:val="22"/>
                <w:szCs w:val="22"/>
                <w:u w:val="none"/>
                <w:lang w:val="en-US" w:eastAsia="zh-CN" w:bidi="ar"/>
              </w:rPr>
              <w:t>）</w:t>
            </w:r>
          </w:p>
        </w:tc>
        <w:tc>
          <w:tcPr>
            <w:tcW w:w="2459"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  择业期不限；                                                                                                                                                                                                                           </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 xml:space="preserve">  在职人员还需提供所在单位同意报考证明。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102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中西医结合</w:t>
            </w: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520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val="0"/>
                <w:color w:val="000000"/>
                <w:sz w:val="22"/>
                <w:szCs w:val="22"/>
                <w:u w:val="none"/>
              </w:rPr>
            </w:pPr>
          </w:p>
        </w:tc>
        <w:tc>
          <w:tcPr>
            <w:tcW w:w="245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103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医学影像技术</w:t>
            </w: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520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val="0"/>
                <w:color w:val="000000"/>
                <w:sz w:val="22"/>
                <w:szCs w:val="22"/>
                <w:u w:val="none"/>
              </w:rPr>
            </w:pPr>
          </w:p>
        </w:tc>
        <w:tc>
          <w:tcPr>
            <w:tcW w:w="245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104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康复治疗学</w:t>
            </w: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520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val="0"/>
                <w:color w:val="000000"/>
                <w:sz w:val="22"/>
                <w:szCs w:val="22"/>
                <w:u w:val="none"/>
              </w:rPr>
            </w:pPr>
          </w:p>
        </w:tc>
        <w:tc>
          <w:tcPr>
            <w:tcW w:w="245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105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护理学</w:t>
            </w: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520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val="0"/>
                <w:color w:val="000000"/>
                <w:sz w:val="22"/>
                <w:szCs w:val="22"/>
                <w:u w:val="none"/>
              </w:rPr>
            </w:pPr>
          </w:p>
        </w:tc>
        <w:tc>
          <w:tcPr>
            <w:tcW w:w="245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106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预防医学</w:t>
            </w: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c>
          <w:tcPr>
            <w:tcW w:w="520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val="0"/>
                <w:color w:val="000000"/>
                <w:sz w:val="22"/>
                <w:szCs w:val="22"/>
                <w:u w:val="none"/>
              </w:rPr>
            </w:pPr>
          </w:p>
        </w:tc>
        <w:tc>
          <w:tcPr>
            <w:tcW w:w="245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特岗</w:t>
            </w:r>
            <w:r>
              <w:rPr>
                <w:rFonts w:hint="default" w:ascii="仿宋" w:hAnsi="仿宋" w:eastAsia="仿宋" w:cs="仿宋"/>
                <w:i w:val="0"/>
                <w:color w:val="000000"/>
                <w:kern w:val="0"/>
                <w:sz w:val="22"/>
                <w:szCs w:val="22"/>
                <w:u w:val="none"/>
                <w:lang w:val="en-US" w:eastAsia="zh-CN" w:bidi="ar"/>
              </w:rPr>
              <w:t>全科</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医生</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201</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不限</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不限</w:t>
            </w:r>
          </w:p>
        </w:tc>
        <w:tc>
          <w:tcPr>
            <w:tcW w:w="5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9"/>
                <w:sz w:val="22"/>
                <w:szCs w:val="22"/>
                <w:lang w:val="en-US" w:eastAsia="zh-CN" w:bidi="ar"/>
              </w:rPr>
            </w:pPr>
            <w:r>
              <w:rPr>
                <w:rStyle w:val="7"/>
                <w:sz w:val="20"/>
                <w:szCs w:val="20"/>
                <w:lang w:val="en-US" w:eastAsia="zh-CN" w:bidi="ar"/>
              </w:rPr>
              <w:t xml:space="preserve"> </w:t>
            </w:r>
            <w:r>
              <w:rPr>
                <w:rStyle w:val="7"/>
                <w:sz w:val="22"/>
                <w:szCs w:val="22"/>
                <w:lang w:val="en-US" w:eastAsia="zh-CN" w:bidi="ar"/>
              </w:rPr>
              <w:t xml:space="preserve"> 全科医生特设岗位须满足下列条件之一：</w:t>
            </w:r>
            <w:r>
              <w:rPr>
                <w:rStyle w:val="9"/>
                <w:sz w:val="22"/>
                <w:szCs w:val="22"/>
                <w:lang w:val="en-US" w:eastAsia="zh-CN" w:bidi="ar"/>
              </w:rPr>
              <w:br w:type="textWrapping"/>
            </w:r>
            <w:r>
              <w:rPr>
                <w:rStyle w:val="9"/>
                <w:sz w:val="22"/>
                <w:szCs w:val="22"/>
                <w:lang w:val="en-US" w:eastAsia="zh-CN" w:bidi="ar"/>
              </w:rPr>
              <w:t xml:space="preserve">  （1）具有执业医师资格，且执业范围注册为临床类别全科医学专业或中医类别全科医学专业的医务人员。</w:t>
            </w:r>
            <w:r>
              <w:rPr>
                <w:rStyle w:val="9"/>
                <w:sz w:val="22"/>
                <w:szCs w:val="22"/>
                <w:lang w:val="en-US" w:eastAsia="zh-CN" w:bidi="ar"/>
              </w:rPr>
              <w:br w:type="textWrapping"/>
            </w:r>
            <w:r>
              <w:rPr>
                <w:rStyle w:val="9"/>
                <w:sz w:val="22"/>
                <w:szCs w:val="22"/>
                <w:lang w:val="en-US" w:eastAsia="zh-CN" w:bidi="ar"/>
              </w:rPr>
              <w:t xml:space="preserve">  （2）具有执业医师资格，经过省级卫生健康部门（含中医管理部门）认可的全科医生规范化培养、转岗培训或者岗位培训并考核合格的医务人员。</w:t>
            </w:r>
            <w:r>
              <w:rPr>
                <w:rStyle w:val="9"/>
                <w:sz w:val="22"/>
                <w:szCs w:val="22"/>
                <w:lang w:val="en-US" w:eastAsia="zh-CN" w:bidi="ar"/>
              </w:rPr>
              <w:br w:type="textWrapping"/>
            </w:r>
            <w:r>
              <w:rPr>
                <w:rStyle w:val="9"/>
                <w:sz w:val="22"/>
                <w:szCs w:val="22"/>
                <w:lang w:val="en-US" w:eastAsia="zh-CN" w:bidi="ar"/>
              </w:rPr>
              <w:t xml:space="preserve">  （3）具有执业医师资格，从事临床医疗工作3年以上（含3年），能够胜任全科医生岗位的医务人员。一般应具有二级以上医院工作经历（一年以上）。                                                                                                                                                         </w:t>
            </w:r>
            <w:r>
              <w:rPr>
                <w:rStyle w:val="9"/>
                <w:sz w:val="22"/>
                <w:szCs w:val="22"/>
                <w:lang w:val="en-US" w:eastAsia="zh-CN" w:bidi="ar"/>
              </w:rPr>
              <w:br w:type="textWrapping"/>
            </w:r>
            <w:r>
              <w:rPr>
                <w:rStyle w:val="9"/>
                <w:sz w:val="22"/>
                <w:szCs w:val="22"/>
                <w:lang w:val="en-US" w:eastAsia="zh-CN" w:bidi="ar"/>
              </w:rPr>
              <w:t xml:space="preserve">  （4）县乡两级具有高级职称的退休医师。</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9"/>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9"/>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9"/>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9"/>
                <w:rFonts w:hint="default"/>
                <w:sz w:val="20"/>
                <w:szCs w:val="20"/>
                <w:lang w:val="en-US" w:eastAsia="zh-CN" w:bidi="ar"/>
              </w:rPr>
            </w:pPr>
          </w:p>
        </w:tc>
        <w:tc>
          <w:tcPr>
            <w:tcW w:w="2459"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 xml:space="preserve">  </w:t>
            </w:r>
            <w:r>
              <w:rPr>
                <w:rStyle w:val="9"/>
                <w:rFonts w:hint="default"/>
                <w:sz w:val="22"/>
                <w:szCs w:val="22"/>
                <w:lang w:val="en-US" w:eastAsia="zh-CN" w:bidi="ar"/>
              </w:rPr>
              <w:t>符合招聘条件第1种情况的，还需提供医师执业证、全科医生执业证；</w:t>
            </w:r>
            <w:r>
              <w:rPr>
                <w:rStyle w:val="9"/>
                <w:rFonts w:hint="default"/>
                <w:sz w:val="22"/>
                <w:szCs w:val="22"/>
                <w:lang w:val="en-US" w:eastAsia="zh-CN" w:bidi="ar"/>
              </w:rPr>
              <w:br w:type="textWrapping"/>
            </w:r>
            <w:r>
              <w:rPr>
                <w:rStyle w:val="9"/>
                <w:rFonts w:hint="default"/>
                <w:sz w:val="22"/>
                <w:szCs w:val="22"/>
                <w:lang w:val="en-US" w:eastAsia="zh-CN" w:bidi="ar"/>
              </w:rPr>
              <w:t xml:space="preserve">  符合招聘条件第2种情况的，还需提供医师资格证、省级相关部门培训合格证；</w:t>
            </w:r>
            <w:r>
              <w:rPr>
                <w:rStyle w:val="9"/>
                <w:rFonts w:hint="default"/>
                <w:sz w:val="22"/>
                <w:szCs w:val="22"/>
                <w:lang w:val="en-US" w:eastAsia="zh-CN" w:bidi="ar"/>
              </w:rPr>
              <w:br w:type="textWrapping"/>
            </w:r>
            <w:r>
              <w:rPr>
                <w:rStyle w:val="9"/>
                <w:rFonts w:hint="default"/>
                <w:sz w:val="22"/>
                <w:szCs w:val="22"/>
                <w:lang w:val="en-US" w:eastAsia="zh-CN" w:bidi="ar"/>
              </w:rPr>
              <w:t xml:space="preserve">  符合招聘条件第3种情况的，还需提供医师执业证、工作证明；</w:t>
            </w:r>
            <w:r>
              <w:rPr>
                <w:rStyle w:val="9"/>
                <w:rFonts w:hint="default"/>
                <w:sz w:val="22"/>
                <w:szCs w:val="22"/>
                <w:lang w:val="en-US" w:eastAsia="zh-CN" w:bidi="ar"/>
              </w:rPr>
              <w:br w:type="textWrapping"/>
            </w:r>
            <w:r>
              <w:rPr>
                <w:rStyle w:val="9"/>
                <w:rFonts w:hint="default"/>
                <w:sz w:val="22"/>
                <w:szCs w:val="22"/>
                <w:lang w:val="en-US" w:eastAsia="zh-CN" w:bidi="ar"/>
              </w:rPr>
              <w:t xml:space="preserve">  符合招聘条件第4种情况的，还需提供医师执业证、高级职称资格证、退休证。                                                                                                                                                                                                  </w:t>
            </w:r>
            <w:r>
              <w:rPr>
                <w:rStyle w:val="9"/>
                <w:rFonts w:hint="default"/>
                <w:sz w:val="22"/>
                <w:szCs w:val="22"/>
                <w:lang w:val="en-US" w:eastAsia="zh-CN" w:bidi="ar"/>
              </w:rPr>
              <w:br w:type="textWrapping"/>
            </w:r>
            <w:r>
              <w:rPr>
                <w:rStyle w:val="9"/>
                <w:rFonts w:hint="default"/>
                <w:sz w:val="22"/>
                <w:szCs w:val="22"/>
                <w:lang w:val="en-US" w:eastAsia="zh-CN" w:bidi="ar"/>
              </w:rPr>
              <w:t xml:space="preserve">  在职人员还需提供所在单位同意报考证明。                </w:t>
            </w:r>
            <w:r>
              <w:rPr>
                <w:rFonts w:hint="default" w:ascii="仿宋" w:hAnsi="仿宋" w:eastAsia="仿宋" w:cs="仿宋"/>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仿宋" w:hAnsi="仿宋" w:eastAsia="仿宋" w:cs="仿宋"/>
                <w:b/>
                <w:i w:val="0"/>
                <w:color w:val="000000"/>
                <w:sz w:val="20"/>
                <w:szCs w:val="20"/>
                <w:u w:val="none"/>
              </w:rPr>
            </w:pPr>
          </w:p>
        </w:tc>
        <w:tc>
          <w:tcPr>
            <w:tcW w:w="2459"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b/>
                <w:i w:val="0"/>
                <w:color w:val="000000"/>
                <w:sz w:val="20"/>
                <w:szCs w:val="20"/>
                <w:u w:val="none"/>
              </w:rPr>
            </w:pPr>
          </w:p>
        </w:tc>
        <w:tc>
          <w:tcPr>
            <w:tcW w:w="2459"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i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b/>
                <w:i w:val="0"/>
                <w:color w:val="000000"/>
                <w:sz w:val="20"/>
                <w:szCs w:val="20"/>
                <w:u w:val="none"/>
              </w:rPr>
            </w:pPr>
          </w:p>
        </w:tc>
        <w:tc>
          <w:tcPr>
            <w:tcW w:w="2459"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460" w:lineRule="exact"/>
      </w:pPr>
    </w:p>
    <w:sectPr>
      <w:pgSz w:w="16838" w:h="11906" w:orient="landscape"/>
      <w:pgMar w:top="556" w:right="1100" w:bottom="499" w:left="121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YTZmOTAxZTNjOTMxZjU3MzQ2NTNiMTcxNzVjOTUifQ=="/>
  </w:docVars>
  <w:rsids>
    <w:rsidRoot w:val="11DF7F8B"/>
    <w:rsid w:val="11DF7F8B"/>
    <w:rsid w:val="4D1FF313"/>
    <w:rsid w:val="7D74E79D"/>
    <w:rsid w:val="7EEEB1FD"/>
    <w:rsid w:val="DAAF825C"/>
    <w:rsid w:val="FD7F50C2"/>
    <w:rsid w:val="FFDB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customStyle="1" w:styleId="7">
    <w:name w:val="font01"/>
    <w:basedOn w:val="6"/>
    <w:qFormat/>
    <w:uiPriority w:val="0"/>
    <w:rPr>
      <w:rFonts w:hint="default" w:ascii="仿宋" w:hAnsi="仿宋" w:eastAsia="仿宋" w:cs="仿宋"/>
      <w:b/>
      <w:color w:val="000000"/>
      <w:sz w:val="20"/>
      <w:szCs w:val="20"/>
      <w:u w:val="none"/>
    </w:rPr>
  </w:style>
  <w:style w:type="paragraph" w:customStyle="1" w:styleId="8">
    <w:name w:val="Char Char Char Char Char Char1 Char Char Char Char"/>
    <w:basedOn w:val="1"/>
    <w:qFormat/>
    <w:uiPriority w:val="0"/>
    <w:pPr>
      <w:widowControl/>
      <w:spacing w:after="160" w:afterLines="0" w:line="240" w:lineRule="exact"/>
      <w:jc w:val="left"/>
    </w:pPr>
    <w:rPr>
      <w:rFonts w:ascii="Verdana" w:hAnsi="Verdana" w:eastAsia="仿宋_GB2312"/>
      <w:kern w:val="0"/>
      <w:sz w:val="30"/>
      <w:szCs w:val="30"/>
      <w:lang w:eastAsia="en-US"/>
    </w:rPr>
  </w:style>
  <w:style w:type="character" w:customStyle="1" w:styleId="9">
    <w:name w:val="font21"/>
    <w:basedOn w:val="6"/>
    <w:qFormat/>
    <w:uiPriority w:val="0"/>
    <w:rPr>
      <w:rFonts w:hint="default"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2022-08-17T17:06:00Z</dcterms:created>
  <dc:creator>魏晓雷</dc:creator>
  <cp:lastModifiedBy>admin</cp:lastModifiedBy>
  <dcterms:modified xsi:type="dcterms:W3CDTF">2022-09-02T09:43:56Z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A93F18E22F3A49DFAB9A9E671B72EB77</vt:lpwstr>
  </property>
</Properties>
</file>