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center"/>
        <w:rPr>
          <w:rFonts w:hint="eastAsia" w:ascii="仿宋" w:hAnsi="仿宋" w:eastAsia="方正小标宋简体"/>
          <w:color w:val="auto"/>
          <w:kern w:val="0"/>
          <w:sz w:val="44"/>
          <w:szCs w:val="32"/>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eastAsia="zh-CN"/>
        </w:rPr>
        <w:t>十</w:t>
      </w:r>
      <w:r>
        <w:rPr>
          <w:rFonts w:hint="eastAsia" w:ascii="方正小标宋简体" w:eastAsia="方正小标宋简体"/>
          <w:color w:val="auto"/>
          <w:sz w:val="44"/>
          <w:szCs w:val="44"/>
        </w:rPr>
        <w:t>届贵州人才博览会</w:t>
      </w:r>
      <w:r>
        <w:rPr>
          <w:rFonts w:hint="eastAsia" w:ascii="仿宋" w:hAnsi="仿宋" w:eastAsia="方正小标宋简体"/>
          <w:color w:val="auto"/>
          <w:kern w:val="0"/>
          <w:sz w:val="44"/>
          <w:szCs w:val="32"/>
        </w:rPr>
        <w:t>黔西南</w:t>
      </w:r>
      <w:r>
        <w:rPr>
          <w:rFonts w:hint="eastAsia" w:ascii="仿宋" w:hAnsi="仿宋" w:eastAsia="方正小标宋简体"/>
          <w:color w:val="auto"/>
          <w:kern w:val="0"/>
          <w:sz w:val="44"/>
          <w:szCs w:val="32"/>
          <w:lang w:val="en-US" w:eastAsia="zh-CN"/>
        </w:rPr>
        <w:t>民族职业技术学院</w:t>
      </w:r>
      <w:r>
        <w:rPr>
          <w:rFonts w:hint="eastAsia" w:ascii="方正小标宋简体" w:eastAsia="方正小标宋简体"/>
          <w:color w:val="auto"/>
          <w:sz w:val="44"/>
          <w:szCs w:val="44"/>
        </w:rPr>
        <w:t>线下人才对接</w:t>
      </w:r>
      <w:r>
        <w:rPr>
          <w:rFonts w:hint="eastAsia" w:ascii="方正小标宋简体" w:eastAsia="方正小标宋简体"/>
          <w:color w:val="auto"/>
          <w:kern w:val="0"/>
          <w:sz w:val="44"/>
          <w:szCs w:val="44"/>
        </w:rPr>
        <w:t>防疫</w:t>
      </w:r>
      <w:r>
        <w:rPr>
          <w:rFonts w:hint="eastAsia" w:ascii="仿宋" w:hAnsi="仿宋" w:eastAsia="方正小标宋简体"/>
          <w:color w:val="auto"/>
          <w:kern w:val="0"/>
          <w:sz w:val="44"/>
          <w:szCs w:val="32"/>
        </w:rPr>
        <w:t>方案</w:t>
      </w:r>
    </w:p>
    <w:p>
      <w:pPr>
        <w:pStyle w:val="2"/>
        <w:spacing w:before="0" w:after="0" w:line="560" w:lineRule="exact"/>
        <w:rPr>
          <w:color w:val="auto"/>
        </w:rPr>
      </w:pPr>
    </w:p>
    <w:p>
      <w:pPr>
        <w:keepNext w:val="0"/>
        <w:keepLines w:val="0"/>
        <w:pageBreakBefore w:val="0"/>
        <w:kinsoku/>
        <w:wordWrap/>
        <w:overflowPunct/>
        <w:topLinePunct w:val="0"/>
        <w:autoSpaceDN/>
        <w:bidi w:val="0"/>
        <w:adjustRightInd/>
        <w:snapToGrid/>
        <w:spacing w:line="540" w:lineRule="exact"/>
        <w:ind w:firstLine="480" w:firstLineChars="150"/>
        <w:textAlignment w:val="auto"/>
        <w:rPr>
          <w:rFonts w:ascii="仿宋_GB2312" w:hAnsi="仿宋_GB2312" w:eastAsia="仿宋"/>
          <w:color w:val="auto"/>
          <w:sz w:val="32"/>
        </w:rPr>
      </w:pPr>
      <w:r>
        <w:rPr>
          <w:rFonts w:ascii="仿宋_GB2312" w:hAnsi="仿宋_GB2312" w:eastAsia="仿宋"/>
          <w:color w:val="auto"/>
          <w:sz w:val="32"/>
          <w:szCs w:val="32"/>
        </w:rPr>
        <w:t>按照国家及我省应对新冠肺炎疫情防控相关规定，</w:t>
      </w:r>
      <w:r>
        <w:rPr>
          <w:rFonts w:ascii="仿宋_GB2312" w:hAnsi="仿宋_GB2312" w:eastAsia="仿宋"/>
          <w:color w:val="auto"/>
          <w:sz w:val="32"/>
        </w:rPr>
        <w:t>切实做好新型冠状病毒感染的肺炎疫情防控工作，有效防范疫情传播，</w:t>
      </w:r>
      <w:r>
        <w:rPr>
          <w:rFonts w:hint="eastAsia" w:ascii="仿宋_GB2312" w:hAnsi="仿宋_GB2312" w:eastAsia="仿宋"/>
          <w:color w:val="auto"/>
          <w:sz w:val="32"/>
        </w:rPr>
        <w:t>确保人才对接安全，</w:t>
      </w:r>
      <w:r>
        <w:rPr>
          <w:rFonts w:ascii="仿宋_GB2312" w:hAnsi="仿宋_GB2312" w:eastAsia="仿宋"/>
          <w:color w:val="auto"/>
          <w:sz w:val="32"/>
        </w:rPr>
        <w:t>特制订本工作方案。</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eastAsia="黑体"/>
          <w:color w:val="auto"/>
          <w:sz w:val="32"/>
        </w:rPr>
      </w:pPr>
      <w:r>
        <w:rPr>
          <w:rFonts w:hint="eastAsia" w:eastAsia="黑体"/>
          <w:color w:val="auto"/>
          <w:sz w:val="32"/>
        </w:rPr>
        <w:t>一、组织保障</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黑体" w:hAnsi="宋体" w:eastAsia="仿宋"/>
          <w:color w:val="auto"/>
          <w:kern w:val="0"/>
          <w:sz w:val="32"/>
        </w:rPr>
      </w:pPr>
      <w:r>
        <w:rPr>
          <w:rFonts w:hint="eastAsia" w:ascii="方正小标宋简体" w:eastAsia="仿宋"/>
          <w:color w:val="auto"/>
          <w:kern w:val="0"/>
          <w:sz w:val="32"/>
          <w:szCs w:val="44"/>
        </w:rPr>
        <w:t>黔西南</w:t>
      </w:r>
      <w:r>
        <w:rPr>
          <w:rFonts w:hint="eastAsia" w:ascii="方正小标宋简体" w:eastAsia="仿宋"/>
          <w:color w:val="auto"/>
          <w:kern w:val="0"/>
          <w:sz w:val="32"/>
          <w:szCs w:val="44"/>
          <w:lang w:val="en-US" w:eastAsia="zh-CN"/>
        </w:rPr>
        <w:t>民族职业技术学院</w:t>
      </w:r>
      <w:r>
        <w:rPr>
          <w:rFonts w:ascii="仿宋_GB2312" w:hAnsi="仿宋_GB2312" w:eastAsia="仿宋"/>
          <w:color w:val="auto"/>
          <w:sz w:val="32"/>
        </w:rPr>
        <w:t>疫情防控工作领导小组负责统筹</w:t>
      </w:r>
      <w:r>
        <w:rPr>
          <w:rFonts w:hint="eastAsia" w:ascii="仿宋_GB2312" w:hAnsi="仿宋_GB2312" w:eastAsia="仿宋"/>
          <w:color w:val="auto"/>
          <w:sz w:val="32"/>
        </w:rPr>
        <w:t>开展人才引进防</w:t>
      </w:r>
      <w:r>
        <w:rPr>
          <w:rFonts w:ascii="仿宋_GB2312" w:hAnsi="仿宋_GB2312" w:eastAsia="仿宋"/>
          <w:color w:val="auto"/>
          <w:sz w:val="32"/>
        </w:rPr>
        <w:t>疫</w:t>
      </w:r>
      <w:r>
        <w:rPr>
          <w:rFonts w:hint="eastAsia" w:ascii="仿宋_GB2312" w:hAnsi="仿宋_GB2312" w:eastAsia="仿宋"/>
          <w:color w:val="auto"/>
          <w:sz w:val="32"/>
        </w:rPr>
        <w:t>工作，</w:t>
      </w:r>
      <w:r>
        <w:rPr>
          <w:rFonts w:hint="eastAsia" w:ascii="仿宋_GB2312" w:hAnsi="仿宋_GB2312" w:eastAsia="仿宋"/>
          <w:color w:val="auto"/>
          <w:sz w:val="32"/>
          <w:lang w:eastAsia="zh-CN"/>
        </w:rPr>
        <w:t>“</w:t>
      </w:r>
      <w:r>
        <w:rPr>
          <w:rFonts w:ascii="仿宋_GB2312" w:hAnsi="仿宋_GB2312" w:eastAsia="仿宋"/>
          <w:color w:val="auto"/>
          <w:sz w:val="32"/>
        </w:rPr>
        <w:t>领导小组</w:t>
      </w:r>
      <w:r>
        <w:rPr>
          <w:rFonts w:hint="eastAsia" w:ascii="仿宋_GB2312" w:hAnsi="仿宋_GB2312" w:eastAsia="仿宋"/>
          <w:color w:val="auto"/>
          <w:sz w:val="32"/>
          <w:lang w:eastAsia="zh-CN"/>
        </w:rPr>
        <w:t>”</w:t>
      </w:r>
      <w:r>
        <w:rPr>
          <w:rFonts w:hint="eastAsia" w:ascii="仿宋_GB2312" w:hAnsi="仿宋_GB2312" w:eastAsia="仿宋"/>
          <w:color w:val="auto"/>
          <w:sz w:val="32"/>
        </w:rPr>
        <w:t>分管人事工作领导</w:t>
      </w:r>
      <w:r>
        <w:rPr>
          <w:rFonts w:ascii="仿宋_GB2312" w:hAnsi="仿宋_GB2312" w:eastAsia="仿宋"/>
          <w:color w:val="auto"/>
          <w:sz w:val="32"/>
        </w:rPr>
        <w:t>负责统筹</w:t>
      </w:r>
      <w:r>
        <w:rPr>
          <w:rFonts w:hint="eastAsia" w:ascii="仿宋_GB2312" w:hAnsi="仿宋_GB2312" w:eastAsia="仿宋"/>
          <w:color w:val="auto"/>
          <w:sz w:val="32"/>
        </w:rPr>
        <w:t>组织实施人才引进</w:t>
      </w:r>
      <w:r>
        <w:rPr>
          <w:rFonts w:ascii="仿宋_GB2312" w:hAnsi="仿宋_GB2312" w:eastAsia="仿宋"/>
          <w:color w:val="auto"/>
          <w:sz w:val="32"/>
        </w:rPr>
        <w:t>疫情防控日常工作。</w:t>
      </w:r>
    </w:p>
    <w:p>
      <w:pPr>
        <w:keepNext w:val="0"/>
        <w:keepLines w:val="0"/>
        <w:pageBreakBefore w:val="0"/>
        <w:kinsoku/>
        <w:wordWrap/>
        <w:overflowPunct/>
        <w:topLinePunct w:val="0"/>
        <w:autoSpaceDN/>
        <w:bidi w:val="0"/>
        <w:adjustRightInd/>
        <w:snapToGrid/>
        <w:spacing w:line="540" w:lineRule="exact"/>
        <w:ind w:firstLine="645"/>
        <w:textAlignment w:val="auto"/>
        <w:rPr>
          <w:rFonts w:ascii="Helvetica" w:hAnsi="Helvetica" w:eastAsia="微软雅黑" w:cs="Helvetica"/>
          <w:color w:val="auto"/>
          <w:kern w:val="0"/>
          <w:szCs w:val="21"/>
        </w:rPr>
      </w:pPr>
      <w:r>
        <w:rPr>
          <w:rFonts w:hint="eastAsia" w:ascii="黑体" w:hAnsi="黑体" w:eastAsia="黑体" w:cs="Helvetica"/>
          <w:color w:val="auto"/>
          <w:kern w:val="0"/>
          <w:sz w:val="32"/>
          <w:szCs w:val="32"/>
          <w:lang w:eastAsia="zh-CN"/>
        </w:rPr>
        <w:t>二</w:t>
      </w:r>
      <w:r>
        <w:rPr>
          <w:rFonts w:hint="eastAsia" w:ascii="黑体" w:hAnsi="黑体" w:eastAsia="黑体" w:cs="Helvetica"/>
          <w:color w:val="auto"/>
          <w:kern w:val="0"/>
          <w:sz w:val="32"/>
          <w:szCs w:val="32"/>
        </w:rPr>
        <w:t>、疫情防控要求</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根据贵州省最新疫情防控规定，对参加</w:t>
      </w:r>
      <w:r>
        <w:rPr>
          <w:rFonts w:hint="eastAsia" w:ascii="仿宋_GB2312" w:hAnsi="Helvetica" w:eastAsia="仿宋_GB2312" w:cs="Helvetica"/>
          <w:color w:val="auto"/>
          <w:kern w:val="0"/>
          <w:sz w:val="32"/>
          <w:szCs w:val="32"/>
          <w:lang w:eastAsia="zh-CN"/>
        </w:rPr>
        <w:t>我院线下测试的考生</w:t>
      </w:r>
      <w:r>
        <w:rPr>
          <w:rFonts w:hint="eastAsia" w:ascii="仿宋_GB2312" w:hAnsi="Helvetica" w:eastAsia="仿宋_GB2312" w:cs="Helvetica"/>
          <w:color w:val="auto"/>
          <w:kern w:val="0"/>
          <w:sz w:val="32"/>
          <w:szCs w:val="32"/>
        </w:rPr>
        <w:t>防疫要求如下：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（一）</w:t>
      </w:r>
      <w:r>
        <w:rPr>
          <w:rFonts w:hint="eastAsia" w:ascii="仿宋_GB2312" w:hAnsi="Helvetica" w:eastAsia="仿宋_GB2312" w:cs="Helvetica"/>
          <w:color w:val="auto"/>
          <w:kern w:val="0"/>
          <w:sz w:val="32"/>
          <w:szCs w:val="32"/>
        </w:rPr>
        <w:t>不符合国家、省有关疫情防控要求，不遵守有关疫情防控规定的人员不得参加考试。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（二）</w:t>
      </w:r>
      <w:r>
        <w:rPr>
          <w:rFonts w:hint="eastAsia" w:ascii="仿宋_GB2312" w:hAnsi="Helvetica" w:eastAsia="仿宋_GB2312" w:cs="Helvetica"/>
          <w:color w:val="auto"/>
          <w:kern w:val="0"/>
          <w:sz w:val="32"/>
          <w:szCs w:val="32"/>
        </w:rPr>
        <w:t>处于康复或隔离期的病例、无症状感染者不得参加考试。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（三）</w:t>
      </w:r>
      <w:r>
        <w:rPr>
          <w:rFonts w:hint="eastAsia" w:ascii="仿宋_GB2312" w:hAnsi="Helvetica" w:eastAsia="仿宋_GB2312" w:cs="Helvetica"/>
          <w:color w:val="auto"/>
          <w:kern w:val="0"/>
          <w:sz w:val="32"/>
          <w:szCs w:val="32"/>
        </w:rPr>
        <w:t>疑似病例、确诊病例以及无症状感染者的密切接触者不得参加考试。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（四）</w:t>
      </w:r>
      <w:r>
        <w:rPr>
          <w:rFonts w:hint="eastAsia" w:ascii="仿宋_GB2312" w:hAnsi="Helvetica" w:eastAsia="仿宋_GB2312" w:cs="Helvetica"/>
          <w:color w:val="auto"/>
          <w:kern w:val="0"/>
          <w:sz w:val="32"/>
          <w:szCs w:val="32"/>
        </w:rPr>
        <w:t>处于集中隔离、居家健康监测期间的人员不得参加考试。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（五）</w:t>
      </w:r>
      <w:r>
        <w:rPr>
          <w:rFonts w:hint="eastAsia" w:ascii="仿宋_GB2312" w:hAnsi="Helvetica" w:eastAsia="仿宋_GB2312" w:cs="Helvetica"/>
          <w:color w:val="auto"/>
          <w:kern w:val="0"/>
          <w:sz w:val="32"/>
          <w:szCs w:val="32"/>
        </w:rPr>
        <w:t>对流动、出行须报备并提供相应证明材料的人员，未按要求报备或未按要求提供相应证明材料的不得参加考试。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（六）</w:t>
      </w:r>
      <w:r>
        <w:rPr>
          <w:rFonts w:hint="eastAsia" w:ascii="仿宋_GB2312" w:hAnsi="Helvetica" w:eastAsia="仿宋_GB2312" w:cs="Helvetica"/>
          <w:color w:val="auto"/>
          <w:kern w:val="0"/>
          <w:sz w:val="32"/>
          <w:szCs w:val="32"/>
        </w:rPr>
        <w:t>考试当天，经现场医务人员评估有可疑症状且不能排除新冠感染的考生，应配合工作人员按卫生健康部门要求到相应医院就诊，不得参加考试。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（七）</w:t>
      </w:r>
      <w:r>
        <w:rPr>
          <w:rFonts w:hint="eastAsia" w:ascii="仿宋_GB2312" w:hAnsi="Helvetica" w:eastAsia="仿宋_GB2312" w:cs="Helvetica"/>
          <w:color w:val="auto"/>
          <w:kern w:val="0"/>
          <w:sz w:val="32"/>
          <w:szCs w:val="32"/>
        </w:rPr>
        <w:t>考前14天内有中高风险地区旅居史的考生，不得参加考试。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（八）</w:t>
      </w:r>
      <w:r>
        <w:rPr>
          <w:rFonts w:hint="eastAsia" w:ascii="仿宋_GB2312" w:hAnsi="Helvetica" w:eastAsia="仿宋_GB2312" w:cs="Helvetica"/>
          <w:color w:val="auto"/>
          <w:kern w:val="0"/>
          <w:sz w:val="32"/>
          <w:szCs w:val="32"/>
        </w:rPr>
        <w:t>考前14天内与本土阳性病例（尚未划定风险等级）活动轨迹有交集人员，不得参加考试。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（九）</w:t>
      </w:r>
      <w:r>
        <w:rPr>
          <w:rFonts w:hint="eastAsia" w:ascii="仿宋_GB2312" w:hAnsi="Helvetica" w:eastAsia="仿宋_GB2312" w:cs="Helvetica"/>
          <w:color w:val="auto"/>
          <w:kern w:val="0"/>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其余所有考生均须提供考前48小时内的1次核酸检测阴性证明，方可进入考点参加考试。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在连续两天举行的考试中，考生提供第1天考试时符合规定的核酸检测阴性证明即可。</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（十）</w:t>
      </w:r>
      <w:r>
        <w:rPr>
          <w:rFonts w:hint="eastAsia" w:ascii="仿宋_GB2312" w:hAnsi="Helvetica" w:eastAsia="仿宋_GB2312" w:cs="Helvetica"/>
          <w:color w:val="auto"/>
          <w:kern w:val="0"/>
          <w:sz w:val="32"/>
          <w:szCs w:val="32"/>
        </w:rPr>
        <w:t>原则上所有考生均须按照“应接尽接、应接必接”的要求完成新冠疫苗全程接种及加强免疫。</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（十一）</w:t>
      </w:r>
      <w:r>
        <w:rPr>
          <w:rFonts w:hint="eastAsia" w:ascii="仿宋_GB2312" w:hAnsi="Helvetica" w:eastAsia="仿宋_GB2312" w:cs="Helvetica"/>
          <w:color w:val="auto"/>
          <w:kern w:val="0"/>
          <w:sz w:val="32"/>
          <w:szCs w:val="32"/>
        </w:rPr>
        <w:t>考生应自备一次性使用医用口罩。考试期间，除核验身份时，考生应全程规范佩戴一次性使用医用口罩。未按要求佩戴口罩的考生，不得参加考试。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（十二）</w:t>
      </w:r>
      <w:r>
        <w:rPr>
          <w:rFonts w:hint="eastAsia" w:ascii="仿宋_GB2312" w:hAnsi="Helvetica" w:eastAsia="仿宋_GB2312" w:cs="Helvetica"/>
          <w:color w:val="auto"/>
          <w:kern w:val="0"/>
          <w:sz w:val="32"/>
          <w:szCs w:val="32"/>
        </w:rPr>
        <w:t>开考前100分钟，考生即可开始接受检测进入考点，但不能进入考场。考生应尽早到达考点，提前做好入场检测准备，确保入场检测时间充足、秩序良好。不符合入场检测规定的考生，不得参加考试。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（十三）</w:t>
      </w:r>
      <w:r>
        <w:rPr>
          <w:rFonts w:hint="eastAsia" w:ascii="仿宋_GB2312" w:hAnsi="Helvetica" w:eastAsia="仿宋_GB2312" w:cs="Helvetica"/>
          <w:color w:val="auto"/>
          <w:kern w:val="0"/>
          <w:sz w:val="32"/>
          <w:szCs w:val="32"/>
        </w:rPr>
        <w:t>在连续两天举行的考试中，外出重新进入考点人员，须再次接受入场检测。考试结束，考生要按指令有序离场，废弃口罩应自行带走或放到指定垃圾桶，不得随意丢弃。</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rPr>
        <w:t>（十四）</w:t>
      </w:r>
      <w:r>
        <w:rPr>
          <w:rFonts w:hint="eastAsia" w:ascii="仿宋_GB2312" w:hAnsi="Helvetica" w:eastAsia="仿宋_GB2312" w:cs="Helvetica"/>
          <w:color w:val="auto"/>
          <w:kern w:val="0"/>
          <w:sz w:val="32"/>
          <w:szCs w:val="32"/>
        </w:rPr>
        <w:t>除考生和工作人员外，无关人员</w:t>
      </w:r>
      <w:r>
        <w:rPr>
          <w:rFonts w:hint="eastAsia" w:ascii="仿宋_GB2312" w:hAnsi="Helvetica" w:eastAsia="仿宋_GB2312" w:cs="Helvetica"/>
          <w:color w:val="auto"/>
          <w:kern w:val="0"/>
          <w:sz w:val="32"/>
          <w:szCs w:val="32"/>
          <w:lang w:eastAsia="zh-CN"/>
        </w:rPr>
        <w:t>及车辆</w:t>
      </w:r>
      <w:r>
        <w:rPr>
          <w:rFonts w:hint="eastAsia" w:ascii="仿宋_GB2312" w:hAnsi="Helvetica" w:eastAsia="仿宋_GB2312" w:cs="Helvetica"/>
          <w:color w:val="auto"/>
          <w:kern w:val="0"/>
          <w:sz w:val="32"/>
          <w:szCs w:val="32"/>
        </w:rPr>
        <w:t>一律不得进入</w:t>
      </w:r>
      <w:r>
        <w:rPr>
          <w:rFonts w:hint="eastAsia" w:ascii="仿宋_GB2312" w:hAnsi="Helvetica" w:eastAsia="仿宋_GB2312" w:cs="Helvetica"/>
          <w:color w:val="auto"/>
          <w:kern w:val="0"/>
          <w:sz w:val="32"/>
          <w:szCs w:val="32"/>
          <w:lang w:eastAsia="zh-CN"/>
        </w:rPr>
        <w:t>校园</w:t>
      </w:r>
      <w:r>
        <w:rPr>
          <w:rFonts w:hint="eastAsia" w:ascii="仿宋_GB2312" w:hAnsi="Helvetica" w:eastAsia="仿宋_GB2312" w:cs="Helvetica"/>
          <w:color w:val="auto"/>
          <w:kern w:val="0"/>
          <w:sz w:val="32"/>
          <w:szCs w:val="32"/>
        </w:rPr>
        <w:t>。</w:t>
      </w:r>
    </w:p>
    <w:p>
      <w:pPr>
        <w:keepNext w:val="0"/>
        <w:keepLines w:val="0"/>
        <w:pageBreakBefore w:val="0"/>
        <w:kinsoku/>
        <w:wordWrap/>
        <w:overflowPunct/>
        <w:topLinePunct w:val="0"/>
        <w:autoSpaceDN/>
        <w:bidi w:val="0"/>
        <w:adjustRightInd/>
        <w:snapToGrid/>
        <w:spacing w:line="540" w:lineRule="exact"/>
        <w:ind w:firstLine="630"/>
        <w:textAlignment w:val="auto"/>
        <w:rPr>
          <w:rFonts w:hint="eastAsia" w:ascii="仿宋_GB2312" w:hAnsi="Helvetica" w:eastAsia="仿宋_GB2312" w:cs="Helvetica"/>
          <w:color w:val="auto"/>
          <w:kern w:val="0"/>
          <w:sz w:val="32"/>
          <w:szCs w:val="32"/>
        </w:rPr>
      </w:pPr>
      <w:r>
        <w:rPr>
          <w:rFonts w:hint="eastAsia" w:ascii="楷体_GB2312" w:hAnsi="Helvetica" w:eastAsia="楷体_GB2312" w:cs="Helvetica"/>
          <w:color w:val="auto"/>
          <w:kern w:val="0"/>
          <w:sz w:val="32"/>
          <w:szCs w:val="32"/>
        </w:rPr>
        <w:t>（十五）</w:t>
      </w:r>
      <w:r>
        <w:rPr>
          <w:rFonts w:hint="eastAsia" w:ascii="仿宋_GB2312" w:hAnsi="Helvetica" w:eastAsia="仿宋_GB2312" w:cs="Helvetica"/>
          <w:color w:val="auto"/>
          <w:kern w:val="0"/>
          <w:sz w:val="32"/>
          <w:szCs w:val="32"/>
        </w:rPr>
        <w:t>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kinsoku/>
        <w:wordWrap/>
        <w:overflowPunct/>
        <w:topLinePunct w:val="0"/>
        <w:autoSpaceDN/>
        <w:bidi w:val="0"/>
        <w:adjustRightInd/>
        <w:snapToGrid/>
        <w:spacing w:line="540" w:lineRule="exact"/>
        <w:ind w:firstLine="630"/>
        <w:textAlignment w:val="auto"/>
        <w:rPr>
          <w:rFonts w:hint="eastAsia" w:ascii="仿宋_GB2312" w:hAnsi="Helvetica" w:eastAsia="仿宋_GB2312" w:cs="Helvetica"/>
          <w:color w:val="auto"/>
          <w:kern w:val="0"/>
          <w:sz w:val="32"/>
          <w:szCs w:val="32"/>
        </w:rPr>
      </w:pPr>
      <w:r>
        <w:rPr>
          <w:rFonts w:hint="eastAsia" w:ascii="楷体_GB2312" w:hAnsi="Helvetica" w:eastAsia="楷体_GB2312" w:cs="Helvetica"/>
          <w:color w:val="auto"/>
          <w:kern w:val="0"/>
          <w:sz w:val="32"/>
          <w:szCs w:val="32"/>
          <w:lang w:val="en-US" w:eastAsia="zh-CN"/>
        </w:rPr>
        <w:t>(十六）</w:t>
      </w:r>
      <w:r>
        <w:rPr>
          <w:rFonts w:hint="eastAsia" w:ascii="仿宋_GB2312" w:hAnsi="Helvetica" w:eastAsia="仿宋_GB2312" w:cs="Helvetica"/>
          <w:color w:val="auto"/>
          <w:kern w:val="0"/>
          <w:sz w:val="32"/>
          <w:szCs w:val="32"/>
        </w:rPr>
        <w:t>健康码“灰码”管理。</w:t>
      </w:r>
      <w:r>
        <w:rPr>
          <w:rFonts w:hint="eastAsia" w:ascii="仿宋_GB2312" w:hAnsi="Helvetica" w:eastAsia="仿宋_GB2312" w:cs="Helvetica"/>
          <w:color w:val="auto"/>
          <w:kern w:val="0"/>
          <w:sz w:val="32"/>
          <w:szCs w:val="32"/>
          <w:lang w:eastAsia="zh-CN"/>
        </w:rPr>
        <w:t>实行</w:t>
      </w:r>
      <w:r>
        <w:rPr>
          <w:rFonts w:hint="eastAsia" w:ascii="仿宋_GB2312" w:hAnsi="Helvetica" w:eastAsia="仿宋_GB2312" w:cs="Helvetica"/>
          <w:color w:val="auto"/>
          <w:kern w:val="0"/>
          <w:sz w:val="32"/>
          <w:szCs w:val="32"/>
        </w:rPr>
        <w:t>“五天三检”，须在第1、2、5天共开展3次核酸检测，其中前2次采样需间隔24小时以上。在第1次核酸检测结果为阴性前，仅能在交通场站、居所或酒店等待检测结果，期间不得外出。后2次检测须在做好个人防护前提下，自行前往就近采样点进行采样，采样后仅能前往工作场所、居所或酒店。</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贵州健康码使用和贵州省疫情防控咨询电话：0851-12345。</w:t>
      </w:r>
    </w:p>
    <w:p>
      <w:pPr>
        <w:keepNext w:val="0"/>
        <w:keepLines w:val="0"/>
        <w:pageBreakBefore w:val="0"/>
        <w:widowControl/>
        <w:kinsoku/>
        <w:wordWrap/>
        <w:overflowPunct/>
        <w:topLinePunct w:val="0"/>
        <w:autoSpaceDE w:val="0"/>
        <w:autoSpaceDN/>
        <w:bidi w:val="0"/>
        <w:adjustRightInd/>
        <w:snapToGrid/>
        <w:spacing w:line="540" w:lineRule="exact"/>
        <w:ind w:firstLine="640" w:firstLineChars="200"/>
        <w:jc w:val="left"/>
        <w:textAlignment w:val="auto"/>
        <w:rPr>
          <w:rFonts w:ascii="Times New Roman" w:hAnsi="Times New Roman" w:eastAsia="黑体"/>
          <w:color w:val="auto"/>
          <w:kern w:val="0"/>
          <w:sz w:val="32"/>
          <w:szCs w:val="32"/>
        </w:rPr>
      </w:pPr>
      <w:r>
        <w:rPr>
          <w:rFonts w:hint="eastAsia" w:ascii="黑体" w:hAnsi="黑体" w:eastAsia="黑体"/>
          <w:color w:val="auto"/>
          <w:kern w:val="0"/>
          <w:sz w:val="32"/>
          <w:szCs w:val="32"/>
          <w:lang w:eastAsia="zh-CN"/>
        </w:rPr>
        <w:t>三</w:t>
      </w:r>
      <w:r>
        <w:rPr>
          <w:rFonts w:hint="eastAsia" w:ascii="黑体" w:hAnsi="黑体" w:eastAsia="黑体"/>
          <w:color w:val="auto"/>
          <w:kern w:val="0"/>
          <w:sz w:val="32"/>
          <w:szCs w:val="32"/>
        </w:rPr>
        <w:t>、</w:t>
      </w:r>
      <w:r>
        <w:rPr>
          <w:rFonts w:ascii="黑体" w:hAnsi="黑体" w:eastAsia="黑体"/>
          <w:color w:val="auto"/>
          <w:kern w:val="0"/>
          <w:sz w:val="32"/>
          <w:szCs w:val="32"/>
        </w:rPr>
        <w:t>线下环境设置事项</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通过审核，符合发布专业需求的应聘人员，</w:t>
      </w:r>
      <w:r>
        <w:rPr>
          <w:rFonts w:hint="eastAsia" w:ascii="仿宋_GB2312" w:hAnsi="仿宋_GB2312" w:eastAsia="仿宋_GB2312" w:cs="仿宋_GB2312"/>
          <w:color w:val="auto"/>
          <w:sz w:val="32"/>
          <w:szCs w:val="32"/>
          <w:lang w:val="en-US" w:eastAsia="zh-CN"/>
        </w:rPr>
        <w:t>拟确定为线下对接对象，</w:t>
      </w:r>
      <w:r>
        <w:rPr>
          <w:rFonts w:hint="eastAsia" w:ascii="仿宋_GB2312" w:hAnsi="仿宋_GB2312" w:eastAsia="仿宋_GB2312" w:cs="仿宋_GB2312"/>
          <w:color w:val="auto"/>
          <w:sz w:val="32"/>
          <w:szCs w:val="32"/>
        </w:rPr>
        <w:t>工作人员</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通知</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防疫要求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或通过邮件等形式</w:t>
      </w:r>
      <w:r>
        <w:rPr>
          <w:rFonts w:hint="eastAsia" w:ascii="仿宋_GB2312" w:hAnsi="仿宋_GB2312" w:eastAsia="仿宋_GB2312" w:cs="仿宋_GB2312"/>
          <w:color w:val="auto"/>
          <w:sz w:val="32"/>
          <w:szCs w:val="32"/>
          <w:lang w:eastAsia="zh-CN"/>
        </w:rPr>
        <w:t>通知</w:t>
      </w:r>
      <w:r>
        <w:rPr>
          <w:rFonts w:hint="eastAsia" w:ascii="仿宋_GB2312" w:hAnsi="仿宋_GB2312" w:eastAsia="仿宋_GB2312" w:cs="仿宋_GB2312"/>
          <w:color w:val="auto"/>
          <w:sz w:val="32"/>
          <w:szCs w:val="32"/>
          <w:lang w:val="en-US" w:eastAsia="zh-CN"/>
        </w:rPr>
        <w:t>应聘人员做好</w:t>
      </w:r>
      <w:r>
        <w:rPr>
          <w:rFonts w:hint="eastAsia" w:ascii="仿宋_GB2312" w:hAnsi="仿宋_GB2312" w:eastAsia="仿宋_GB2312" w:cs="仿宋_GB2312"/>
          <w:color w:val="auto"/>
          <w:kern w:val="0"/>
          <w:sz w:val="32"/>
          <w:szCs w:val="32"/>
        </w:rPr>
        <w:t>线下对接注意事项。</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
          <w:color w:val="auto"/>
          <w:sz w:val="32"/>
          <w:lang w:eastAsia="zh-CN"/>
        </w:rPr>
      </w:pPr>
      <w:r>
        <w:rPr>
          <w:rFonts w:hint="eastAsia" w:ascii="仿宋_GB2312" w:hAnsi="仿宋_GB2312" w:eastAsia="仿宋"/>
          <w:color w:val="auto"/>
          <w:sz w:val="32"/>
        </w:rPr>
        <w:t>由</w:t>
      </w:r>
      <w:r>
        <w:rPr>
          <w:rFonts w:hint="eastAsia" w:ascii="仿宋_GB2312" w:hAnsi="仿宋_GB2312" w:eastAsia="仿宋"/>
          <w:color w:val="auto"/>
          <w:sz w:val="32"/>
          <w:lang w:val="en-US" w:eastAsia="zh-CN"/>
        </w:rPr>
        <w:t>学院</w:t>
      </w:r>
      <w:r>
        <w:rPr>
          <w:rFonts w:ascii="仿宋_GB2312" w:hAnsi="仿宋_GB2312" w:eastAsia="仿宋"/>
          <w:color w:val="auto"/>
          <w:sz w:val="32"/>
        </w:rPr>
        <w:t>疫情防控工作领导小组</w:t>
      </w:r>
      <w:r>
        <w:rPr>
          <w:rFonts w:hint="eastAsia" w:ascii="仿宋_GB2312" w:hAnsi="仿宋_GB2312" w:eastAsia="仿宋"/>
          <w:color w:val="auto"/>
          <w:sz w:val="32"/>
        </w:rPr>
        <w:t>办</w:t>
      </w:r>
      <w:r>
        <w:rPr>
          <w:rFonts w:ascii="仿宋_GB2312" w:hAnsi="仿宋_GB2312" w:eastAsia="仿宋"/>
          <w:color w:val="auto"/>
          <w:sz w:val="32"/>
        </w:rPr>
        <w:t>公室</w:t>
      </w:r>
      <w:r>
        <w:rPr>
          <w:rFonts w:hint="eastAsia" w:ascii="仿宋_GB2312" w:hAnsi="仿宋_GB2312" w:eastAsia="仿宋"/>
          <w:color w:val="auto"/>
          <w:sz w:val="32"/>
        </w:rPr>
        <w:t>做好如下工作</w:t>
      </w:r>
      <w:r>
        <w:rPr>
          <w:rFonts w:hint="eastAsia" w:ascii="仿宋_GB2312" w:hAnsi="仿宋_GB2312" w:eastAsia="仿宋"/>
          <w:color w:val="auto"/>
          <w:sz w:val="32"/>
          <w:lang w:eastAsia="zh-CN"/>
        </w:rPr>
        <w:t>：</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
          <w:color w:val="auto"/>
          <w:sz w:val="32"/>
          <w:szCs w:val="32"/>
        </w:rPr>
      </w:pPr>
      <w:r>
        <w:rPr>
          <w:rFonts w:hint="eastAsia" w:ascii="楷体" w:hAnsi="楷体" w:eastAsia="楷体" w:cs="楷体"/>
          <w:color w:val="auto"/>
          <w:kern w:val="0"/>
          <w:sz w:val="32"/>
          <w:szCs w:val="32"/>
        </w:rPr>
        <w:t>（一）</w:t>
      </w:r>
      <w:r>
        <w:rPr>
          <w:rFonts w:ascii="仿宋_GB2312" w:hAnsi="仿宋_GB2312" w:eastAsia="仿宋"/>
          <w:color w:val="auto"/>
          <w:sz w:val="32"/>
          <w:szCs w:val="32"/>
        </w:rPr>
        <w:t>做好口罩、洗手液、消毒剂等防疫物资储备</w:t>
      </w:r>
      <w:r>
        <w:rPr>
          <w:rFonts w:hint="eastAsia" w:ascii="仿宋_GB2312" w:hAnsi="仿宋_GB2312" w:eastAsia="仿宋"/>
          <w:color w:val="auto"/>
          <w:sz w:val="32"/>
          <w:szCs w:val="32"/>
        </w:rPr>
        <w:t>。</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（二）</w:t>
      </w:r>
      <w:r>
        <w:rPr>
          <w:rFonts w:hint="eastAsia" w:ascii="仿宋_GB2312" w:hAnsi="仿宋_GB2312" w:eastAsia="仿宋"/>
          <w:color w:val="auto"/>
          <w:sz w:val="32"/>
          <w:szCs w:val="32"/>
        </w:rPr>
        <w:t>做好</w:t>
      </w:r>
      <w:r>
        <w:rPr>
          <w:rFonts w:ascii="仿宋_GB2312" w:hAnsi="仿宋_GB2312" w:eastAsia="仿宋"/>
          <w:color w:val="auto"/>
          <w:sz w:val="32"/>
          <w:szCs w:val="32"/>
        </w:rPr>
        <w:t>健康监测，对参加活动人员健康状况进行登记，身体不适时应及时就医，对进入活动场所的人员进行体温检测，体温正常者方可进入。</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三</w:t>
      </w:r>
      <w:r>
        <w:rPr>
          <w:rFonts w:hint="eastAsia" w:ascii="楷体" w:hAnsi="楷体" w:eastAsia="楷体" w:cs="楷体"/>
          <w:color w:val="auto"/>
          <w:kern w:val="0"/>
          <w:sz w:val="32"/>
          <w:szCs w:val="32"/>
        </w:rPr>
        <w:t>）</w:t>
      </w:r>
      <w:r>
        <w:rPr>
          <w:rFonts w:ascii="仿宋_GB2312" w:hAnsi="仿宋_GB2312" w:eastAsia="仿宋"/>
          <w:color w:val="auto"/>
          <w:sz w:val="32"/>
          <w:szCs w:val="32"/>
        </w:rPr>
        <w:t>做好公共卫生间等公用设备设施和门把手等高频接触物体表面的清洁消毒。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四</w:t>
      </w:r>
      <w:r>
        <w:rPr>
          <w:rFonts w:hint="eastAsia" w:ascii="楷体" w:hAnsi="楷体" w:eastAsia="楷体" w:cs="楷体"/>
          <w:color w:val="auto"/>
          <w:kern w:val="0"/>
          <w:sz w:val="32"/>
          <w:szCs w:val="32"/>
        </w:rPr>
        <w:t>）</w:t>
      </w:r>
      <w:r>
        <w:rPr>
          <w:rFonts w:ascii="仿宋_GB2312" w:hAnsi="仿宋_GB2312" w:eastAsia="仿宋"/>
          <w:color w:val="auto"/>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五</w:t>
      </w:r>
      <w:r>
        <w:rPr>
          <w:rFonts w:hint="eastAsia" w:ascii="楷体" w:hAnsi="楷体" w:eastAsia="楷体" w:cs="楷体"/>
          <w:color w:val="auto"/>
          <w:kern w:val="0"/>
          <w:sz w:val="32"/>
          <w:szCs w:val="32"/>
        </w:rPr>
        <w:t>）</w:t>
      </w:r>
      <w:r>
        <w:rPr>
          <w:rFonts w:ascii="仿宋_GB2312" w:hAnsi="仿宋_GB2312" w:eastAsia="仿宋"/>
          <w:color w:val="auto"/>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六</w:t>
      </w:r>
      <w:r>
        <w:rPr>
          <w:rFonts w:hint="eastAsia" w:ascii="楷体" w:hAnsi="楷体" w:eastAsia="楷体" w:cs="楷体"/>
          <w:color w:val="auto"/>
          <w:kern w:val="0"/>
          <w:sz w:val="32"/>
          <w:szCs w:val="32"/>
        </w:rPr>
        <w:t>）</w:t>
      </w:r>
      <w:r>
        <w:rPr>
          <w:rFonts w:ascii="仿宋_GB2312" w:hAnsi="仿宋_GB2312" w:eastAsia="仿宋"/>
          <w:color w:val="auto"/>
          <w:sz w:val="32"/>
          <w:szCs w:val="32"/>
        </w:rPr>
        <w:t>设立应急区域。当出现疑似症状人员时，及时到该区域进行暂时隔离，并安排就近就医。</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七</w:t>
      </w:r>
      <w:r>
        <w:rPr>
          <w:rFonts w:hint="eastAsia" w:ascii="楷体" w:hAnsi="楷体" w:eastAsia="楷体" w:cs="楷体"/>
          <w:color w:val="auto"/>
          <w:kern w:val="0"/>
          <w:sz w:val="32"/>
          <w:szCs w:val="32"/>
        </w:rPr>
        <w:t>）</w:t>
      </w:r>
      <w:r>
        <w:rPr>
          <w:rFonts w:ascii="仿宋_GB2312" w:hAnsi="仿宋_GB2312" w:eastAsia="仿宋"/>
          <w:color w:val="auto"/>
          <w:sz w:val="32"/>
          <w:szCs w:val="32"/>
        </w:rPr>
        <w:t>当出现新冠肺炎病例时，应在当地疾病预防控制中心的指导下对场所进行终末消毒，经卫生学评价合格后方可重新启用。</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sz w:val="32"/>
          <w:szCs w:val="32"/>
          <w:lang w:eastAsia="zh-CN"/>
        </w:rPr>
        <w:t>四、考试当天疫情工作安排</w:t>
      </w:r>
    </w:p>
    <w:p>
      <w:pPr>
        <w:keepNext w:val="0"/>
        <w:keepLines w:val="0"/>
        <w:pageBreakBefore w:val="0"/>
        <w:kinsoku/>
        <w:wordWrap/>
        <w:overflowPunct/>
        <w:topLinePunct w:val="0"/>
        <w:autoSpaceDN/>
        <w:bidi w:val="0"/>
        <w:adjustRightInd/>
        <w:snapToGrid/>
        <w:spacing w:line="540" w:lineRule="exact"/>
        <w:ind w:firstLine="645"/>
        <w:textAlignment w:val="auto"/>
        <w:rPr>
          <w:rFonts w:ascii="Helvetica" w:hAnsi="Helvetica" w:eastAsia="微软雅黑" w:cs="Helvetica"/>
          <w:color w:val="auto"/>
          <w:kern w:val="0"/>
          <w:szCs w:val="21"/>
        </w:rPr>
      </w:pPr>
      <w:r>
        <w:rPr>
          <w:rFonts w:hint="eastAsia" w:ascii="黑体" w:hAnsi="黑体" w:eastAsia="黑体" w:cs="Helvetica"/>
          <w:color w:val="auto"/>
          <w:kern w:val="0"/>
          <w:sz w:val="32"/>
          <w:szCs w:val="32"/>
          <w:lang w:eastAsia="zh-CN"/>
        </w:rPr>
        <w:t>（一）</w:t>
      </w:r>
      <w:r>
        <w:rPr>
          <w:rFonts w:hint="eastAsia" w:ascii="黑体" w:hAnsi="黑体" w:eastAsia="黑体" w:cs="Helvetica"/>
          <w:color w:val="auto"/>
          <w:kern w:val="0"/>
          <w:sz w:val="32"/>
          <w:szCs w:val="32"/>
        </w:rPr>
        <w:t>入场检测规定</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入场检测时，考生须同时符合以下全部要求，方可进入考点参加考试：</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1.</w:t>
      </w:r>
      <w:r>
        <w:rPr>
          <w:rFonts w:hint="eastAsia" w:ascii="仿宋_GB2312" w:hAnsi="Helvetica" w:eastAsia="仿宋_GB2312" w:cs="Helvetica"/>
          <w:color w:val="auto"/>
          <w:kern w:val="0"/>
          <w:sz w:val="32"/>
          <w:szCs w:val="32"/>
        </w:rPr>
        <w:t>本人“贵州健康码、国家通信行程卡”绿码；</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2.</w:t>
      </w:r>
      <w:r>
        <w:rPr>
          <w:rFonts w:hint="eastAsia" w:ascii="仿宋_GB2312" w:hAnsi="Helvetica" w:eastAsia="仿宋_GB2312" w:cs="Helvetica"/>
          <w:color w:val="auto"/>
          <w:kern w:val="0"/>
          <w:sz w:val="32"/>
          <w:szCs w:val="32"/>
        </w:rPr>
        <w:t>经检测体温正常（低于37.3℃）；</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3.</w:t>
      </w:r>
      <w:r>
        <w:rPr>
          <w:rFonts w:hint="eastAsia" w:ascii="仿宋_GB2312" w:hAnsi="Helvetica" w:eastAsia="仿宋_GB2312" w:cs="Helvetica"/>
          <w:color w:val="auto"/>
          <w:kern w:val="0"/>
          <w:sz w:val="32"/>
          <w:szCs w:val="32"/>
        </w:rPr>
        <w:t>佩戴一次性使用医用口罩；</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4.</w:t>
      </w:r>
      <w:r>
        <w:rPr>
          <w:rFonts w:hint="eastAsia" w:ascii="仿宋_GB2312" w:hAnsi="Helvetica" w:eastAsia="仿宋_GB2312" w:cs="Helvetica"/>
          <w:color w:val="auto"/>
          <w:kern w:val="0"/>
          <w:sz w:val="32"/>
          <w:szCs w:val="32"/>
        </w:rPr>
        <w:t>提供相应的核酸检测阴性证明纸质版：</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lang w:val="en-US" w:eastAsia="zh-CN"/>
        </w:rPr>
        <w:t>1</w:t>
      </w: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rPr>
        <w:t>考前14天内有“本土阳性病例报告地级市（直辖市为区）”旅居史人员，须提供抵黔后5日内的3次核酸检测阴性证明和考前48小时内的1次核酸检测阴性证明。</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lang w:val="en-US" w:eastAsia="zh-CN"/>
        </w:rPr>
        <w:t>2</w:t>
      </w: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rPr>
        <w:t>其余所有考生均须提供考前48小时内的1次核酸检测阴性证明。</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黑体" w:hAnsi="黑体" w:eastAsia="黑体" w:cs="Helvetica"/>
          <w:color w:val="auto"/>
          <w:kern w:val="0"/>
          <w:sz w:val="32"/>
          <w:szCs w:val="32"/>
          <w:lang w:eastAsia="zh-CN"/>
        </w:rPr>
        <w:t>（二）</w:t>
      </w:r>
      <w:r>
        <w:rPr>
          <w:rFonts w:hint="eastAsia" w:ascii="黑体" w:hAnsi="黑体" w:eastAsia="黑体" w:cs="Helvetica"/>
          <w:color w:val="auto"/>
          <w:kern w:val="0"/>
          <w:sz w:val="32"/>
          <w:szCs w:val="32"/>
        </w:rPr>
        <w:t>入场检测步骤</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1.</w:t>
      </w:r>
      <w:r>
        <w:rPr>
          <w:rFonts w:hint="eastAsia" w:ascii="楷体_GB2312" w:hAnsi="Helvetica" w:eastAsia="楷体_GB2312" w:cs="Helvetica"/>
          <w:color w:val="auto"/>
          <w:kern w:val="0"/>
          <w:sz w:val="32"/>
          <w:szCs w:val="32"/>
        </w:rPr>
        <w:t>特殊检测通道</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考前14天内有“本土阳性病例报告地级市（直辖市为区）”旅居史人员进入特殊检测通道。具体检测步骤如下：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2.</w:t>
      </w:r>
      <w:r>
        <w:rPr>
          <w:rFonts w:hint="eastAsia" w:ascii="楷体_GB2312" w:hAnsi="Helvetica" w:eastAsia="楷体_GB2312" w:cs="Helvetica"/>
          <w:color w:val="auto"/>
          <w:kern w:val="0"/>
          <w:sz w:val="32"/>
          <w:szCs w:val="32"/>
        </w:rPr>
        <w:t>常规检测通道</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考前14天内无“本土阳性病例报告地级市（直辖市为区）”旅居史人员进入常规检测通道，常规检测通道分两步进行检测，具体检测步骤如下：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lang w:val="en-US" w:eastAsia="zh-CN"/>
        </w:rPr>
        <w:t>1</w:t>
      </w: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rPr>
        <w:t>第一步检测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考生须提前准备好考试当天本人“贵州健康码绿码”和《准考证》报检测人员核验并接受体温检测。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经第一步检测合格的，迅速前往第二步检测点。</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lang w:val="en-US" w:eastAsia="zh-CN"/>
        </w:rPr>
        <w:t>2</w:t>
      </w:r>
      <w:r>
        <w:rPr>
          <w:rFonts w:hint="eastAsia" w:ascii="仿宋_GB2312" w:hAnsi="Helvetica" w:eastAsia="仿宋_GB2312" w:cs="Helvetica"/>
          <w:color w:val="auto"/>
          <w:kern w:val="0"/>
          <w:sz w:val="32"/>
          <w:szCs w:val="32"/>
          <w:lang w:eastAsia="zh-CN"/>
        </w:rPr>
        <w:t>）</w:t>
      </w:r>
      <w:r>
        <w:rPr>
          <w:rFonts w:hint="eastAsia" w:ascii="仿宋_GB2312" w:hAnsi="Helvetica" w:eastAsia="仿宋_GB2312" w:cs="Helvetica"/>
          <w:color w:val="auto"/>
          <w:kern w:val="0"/>
          <w:sz w:val="32"/>
          <w:szCs w:val="32"/>
        </w:rPr>
        <w:t>第二步检测</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经第二步检测合格的，检测人员在《准考证》上加盖入场检测合格章。</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楷体_GB2312" w:hAnsi="Helvetica" w:eastAsia="楷体_GB2312" w:cs="Helvetica"/>
          <w:color w:val="auto"/>
          <w:kern w:val="0"/>
          <w:sz w:val="32"/>
          <w:szCs w:val="32"/>
          <w:lang w:val="en-US" w:eastAsia="zh-CN"/>
        </w:rPr>
        <w:t>3.</w:t>
      </w:r>
      <w:r>
        <w:rPr>
          <w:rFonts w:hint="eastAsia" w:ascii="楷体_GB2312" w:hAnsi="Helvetica" w:eastAsia="楷体_GB2312" w:cs="Helvetica"/>
          <w:color w:val="auto"/>
          <w:kern w:val="0"/>
          <w:sz w:val="32"/>
          <w:szCs w:val="32"/>
        </w:rPr>
        <w:t>临时隔离检查点</w:t>
      </w:r>
    </w:p>
    <w:p>
      <w:pPr>
        <w:keepNext w:val="0"/>
        <w:keepLines w:val="0"/>
        <w:pageBreakBefore w:val="0"/>
        <w:kinsoku/>
        <w:wordWrap/>
        <w:overflowPunct/>
        <w:topLinePunct w:val="0"/>
        <w:autoSpaceDN/>
        <w:bidi w:val="0"/>
        <w:adjustRightInd/>
        <w:snapToGrid/>
        <w:spacing w:line="540" w:lineRule="exact"/>
        <w:ind w:firstLine="630"/>
        <w:textAlignment w:val="auto"/>
        <w:rPr>
          <w:rFonts w:ascii="Helvetica" w:hAnsi="Helvetica" w:eastAsia="微软雅黑" w:cs="Helvetica"/>
          <w:color w:val="auto"/>
          <w:kern w:val="0"/>
          <w:szCs w:val="21"/>
        </w:rPr>
      </w:pPr>
      <w:r>
        <w:rPr>
          <w:rFonts w:hint="eastAsia" w:ascii="仿宋_GB2312" w:hAnsi="Helvetica" w:eastAsia="仿宋_GB2312" w:cs="Helvetica"/>
          <w:color w:val="auto"/>
          <w:kern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（三）其他注意事项</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1.线下对接对象</w:t>
      </w:r>
      <w:r>
        <w:rPr>
          <w:rFonts w:hint="eastAsia" w:ascii="仿宋_GB2312" w:hAnsi="仿宋_GB2312" w:eastAsia="仿宋_GB2312" w:cs="仿宋_GB2312"/>
          <w:color w:val="auto"/>
          <w:sz w:val="32"/>
          <w:szCs w:val="32"/>
        </w:rPr>
        <w:t>，所有人员</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rPr>
        <w:t>全程佩戴口罩，打喷嚏时用纸巾遮住或肘臂遮挡口鼻，将使用过的纸巾放入有盖的垃圾桶内，打喷嚏和咳嗽后应用洗手液（或肥皂）彻底清洗双手。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highlight w:val="yellow"/>
        </w:rPr>
      </w:pPr>
      <w:r>
        <w:rPr>
          <w:rFonts w:hint="eastAsia" w:ascii="仿宋_GB2312" w:hAnsi="仿宋_GB2312" w:eastAsia="仿宋_GB2312" w:cs="仿宋_GB2312"/>
          <w:color w:val="auto"/>
          <w:kern w:val="0"/>
          <w:sz w:val="32"/>
          <w:szCs w:val="32"/>
          <w:lang w:val="en-US" w:eastAsia="zh-CN"/>
        </w:rPr>
        <w:t>2.线下对接对象</w:t>
      </w:r>
      <w:r>
        <w:rPr>
          <w:rFonts w:hint="eastAsia" w:ascii="仿宋_GB2312" w:hAnsi="仿宋_GB2312" w:eastAsia="仿宋_GB2312" w:cs="仿宋_GB2312"/>
          <w:color w:val="auto"/>
          <w:kern w:val="0"/>
          <w:sz w:val="32"/>
          <w:szCs w:val="32"/>
        </w:rPr>
        <w:t>贵州健康码</w:t>
      </w:r>
      <w:r>
        <w:rPr>
          <w:rFonts w:hint="eastAsia" w:ascii="仿宋_GB2312" w:hAnsi="仿宋_GB2312" w:eastAsia="仿宋_GB2312" w:cs="仿宋_GB2312"/>
          <w:color w:val="auto"/>
          <w:kern w:val="0"/>
          <w:sz w:val="32"/>
          <w:szCs w:val="32"/>
          <w:lang w:eastAsia="zh-CN"/>
        </w:rPr>
        <w:t>、行程码</w:t>
      </w:r>
      <w:r>
        <w:rPr>
          <w:rFonts w:hint="eastAsia" w:ascii="仿宋_GB2312" w:hAnsi="仿宋_GB2312" w:eastAsia="仿宋_GB2312" w:cs="仿宋_GB2312"/>
          <w:color w:val="auto"/>
          <w:kern w:val="0"/>
          <w:sz w:val="32"/>
          <w:szCs w:val="32"/>
        </w:rPr>
        <w:t>为绿色，并经体温测量正常后，方</w:t>
      </w:r>
      <w:r>
        <w:rPr>
          <w:rFonts w:hint="eastAsia" w:ascii="仿宋_GB2312" w:hAnsi="仿宋_GB2312" w:eastAsia="仿宋_GB2312" w:cs="仿宋_GB2312"/>
          <w:color w:val="auto"/>
          <w:kern w:val="0"/>
          <w:sz w:val="32"/>
          <w:szCs w:val="32"/>
          <w:lang w:val="en-US" w:eastAsia="zh-CN"/>
        </w:rPr>
        <w:t>可参加体检</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_GB2312" w:eastAsia="仿宋"/>
          <w:color w:val="auto"/>
          <w:sz w:val="32"/>
          <w:szCs w:val="32"/>
          <w:lang w:eastAsia="zh-CN"/>
        </w:rPr>
      </w:pPr>
      <w:r>
        <w:rPr>
          <w:rFonts w:hint="eastAsia" w:ascii="仿宋_GB2312" w:hAnsi="仿宋_GB2312" w:eastAsia="仿宋_GB2312" w:cs="仿宋_GB2312"/>
          <w:color w:val="auto"/>
          <w:kern w:val="0"/>
          <w:sz w:val="32"/>
          <w:szCs w:val="32"/>
          <w:lang w:val="en-US" w:eastAsia="zh-CN"/>
        </w:rPr>
        <w:t>3.线下对接工作由</w:t>
      </w:r>
      <w:r>
        <w:rPr>
          <w:rFonts w:hint="eastAsia" w:ascii="仿宋_GB2312" w:hAnsi="仿宋_GB2312" w:eastAsia="仿宋_GB2312" w:cs="仿宋_GB2312"/>
          <w:color w:val="auto"/>
          <w:sz w:val="32"/>
          <w:lang w:val="en-US" w:eastAsia="zh-CN"/>
        </w:rPr>
        <w:t>学院人事</w:t>
      </w:r>
      <w:r>
        <w:rPr>
          <w:rFonts w:hint="eastAsia" w:eastAsia="仿宋"/>
          <w:color w:val="auto"/>
          <w:sz w:val="32"/>
          <w:lang w:val="en-US" w:eastAsia="zh-CN"/>
        </w:rPr>
        <w:t>部门负责，由在职在岗干部或教师具体负责</w:t>
      </w:r>
      <w:r>
        <w:rPr>
          <w:rFonts w:hint="eastAsia" w:eastAsia="仿宋"/>
          <w:color w:val="auto"/>
          <w:sz w:val="32"/>
        </w:rPr>
        <w:t>。</w:t>
      </w:r>
      <w:r>
        <w:rPr>
          <w:rFonts w:eastAsia="仿宋"/>
          <w:color w:val="auto"/>
          <w:sz w:val="32"/>
        </w:rPr>
        <w:t>参与</w:t>
      </w:r>
      <w:r>
        <w:rPr>
          <w:rFonts w:hint="eastAsia" w:eastAsia="仿宋"/>
          <w:color w:val="auto"/>
          <w:sz w:val="32"/>
        </w:rPr>
        <w:t>人及相关工作人员</w:t>
      </w:r>
      <w:r>
        <w:rPr>
          <w:rFonts w:hint="eastAsia" w:eastAsia="仿宋"/>
          <w:color w:val="auto"/>
          <w:sz w:val="32"/>
          <w:lang w:val="en-US" w:eastAsia="zh-CN"/>
        </w:rPr>
        <w:t>均要求近期内未离开过黔西南州且</w:t>
      </w:r>
      <w:r>
        <w:rPr>
          <w:rFonts w:eastAsia="仿宋"/>
          <w:color w:val="auto"/>
          <w:sz w:val="32"/>
        </w:rPr>
        <w:t>身体状况</w:t>
      </w:r>
      <w:r>
        <w:rPr>
          <w:rFonts w:hint="eastAsia" w:eastAsia="仿宋"/>
          <w:color w:val="auto"/>
          <w:sz w:val="32"/>
        </w:rPr>
        <w:t>无异常。</w:t>
      </w:r>
      <w:r>
        <w:rPr>
          <w:rFonts w:eastAsia="仿宋"/>
          <w:color w:val="auto"/>
          <w:kern w:val="0"/>
          <w:sz w:val="32"/>
        </w:rPr>
        <w:t>并经体温测量正常后，方能参与相关工作</w:t>
      </w:r>
      <w:r>
        <w:rPr>
          <w:rFonts w:hint="eastAsia" w:eastAsia="仿宋"/>
          <w:color w:val="auto"/>
          <w:kern w:val="0"/>
          <w:sz w:val="32"/>
          <w:lang w:eastAsia="zh-CN"/>
        </w:rPr>
        <w:t>。</w:t>
      </w:r>
    </w:p>
    <w:p>
      <w:pPr>
        <w:keepNext w:val="0"/>
        <w:keepLines w:val="0"/>
        <w:pageBreakBefore w:val="0"/>
        <w:widowControl/>
        <w:kinsoku/>
        <w:wordWrap/>
        <w:overflowPunct/>
        <w:topLinePunct w:val="0"/>
        <w:autoSpaceDE w:val="0"/>
        <w:autoSpaceDN/>
        <w:bidi w:val="0"/>
        <w:adjustRightInd/>
        <w:snapToGrid/>
        <w:spacing w:line="540" w:lineRule="exact"/>
        <w:ind w:firstLine="640" w:firstLineChars="200"/>
        <w:jc w:val="left"/>
        <w:textAlignment w:val="auto"/>
        <w:rPr>
          <w:rFonts w:ascii="Times New Roman" w:hAnsi="Times New Roman" w:eastAsia="黑体"/>
          <w:color w:val="auto"/>
          <w:kern w:val="0"/>
          <w:sz w:val="32"/>
          <w:szCs w:val="32"/>
        </w:rPr>
      </w:pPr>
      <w:r>
        <w:rPr>
          <w:rFonts w:hint="eastAsia" w:ascii="黑体" w:hAnsi="黑体" w:eastAsia="黑体"/>
          <w:color w:val="auto"/>
          <w:kern w:val="0"/>
          <w:sz w:val="32"/>
          <w:szCs w:val="32"/>
          <w:lang w:eastAsia="zh-CN"/>
        </w:rPr>
        <w:t>五</w:t>
      </w:r>
      <w:r>
        <w:rPr>
          <w:rFonts w:ascii="黑体" w:hAnsi="黑体" w:eastAsia="黑体"/>
          <w:color w:val="auto"/>
          <w:kern w:val="0"/>
          <w:sz w:val="32"/>
          <w:szCs w:val="32"/>
        </w:rPr>
        <w:t>、</w:t>
      </w:r>
      <w:r>
        <w:rPr>
          <w:rFonts w:hint="eastAsia" w:ascii="黑体" w:hAnsi="黑体" w:eastAsia="黑体"/>
          <w:color w:val="auto"/>
          <w:kern w:val="0"/>
          <w:sz w:val="32"/>
          <w:szCs w:val="32"/>
          <w:lang w:val="en-US" w:eastAsia="zh-CN"/>
        </w:rPr>
        <w:t>线下对接对象</w:t>
      </w:r>
      <w:r>
        <w:rPr>
          <w:rFonts w:ascii="黑体" w:hAnsi="黑体" w:eastAsia="黑体"/>
          <w:color w:val="auto"/>
          <w:kern w:val="0"/>
          <w:sz w:val="32"/>
          <w:szCs w:val="32"/>
        </w:rPr>
        <w:t>注意事项</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（一）</w:t>
      </w:r>
      <w:r>
        <w:rPr>
          <w:rFonts w:hint="eastAsia" w:ascii="仿宋_GB2312" w:hAnsi="仿宋_GB2312" w:eastAsia="仿宋"/>
          <w:color w:val="auto"/>
          <w:sz w:val="32"/>
          <w:szCs w:val="32"/>
          <w:lang w:val="en-US" w:eastAsia="zh-CN"/>
        </w:rPr>
        <w:t>线下对接对象</w:t>
      </w:r>
      <w:r>
        <w:rPr>
          <w:rFonts w:ascii="仿宋_GB2312" w:hAnsi="仿宋_GB2312" w:eastAsia="仿宋"/>
          <w:color w:val="auto"/>
          <w:sz w:val="32"/>
          <w:szCs w:val="32"/>
        </w:rPr>
        <w:t>收到</w:t>
      </w:r>
      <w:r>
        <w:rPr>
          <w:rFonts w:hint="eastAsia" w:ascii="仿宋_GB2312" w:hAnsi="仿宋_GB2312" w:eastAsia="仿宋"/>
          <w:color w:val="auto"/>
          <w:sz w:val="32"/>
          <w:szCs w:val="32"/>
          <w:lang w:val="en-US" w:eastAsia="zh-CN"/>
        </w:rPr>
        <w:t>招聘</w:t>
      </w:r>
      <w:r>
        <w:rPr>
          <w:rFonts w:ascii="仿宋_GB2312" w:hAnsi="仿宋_GB2312" w:eastAsia="仿宋"/>
          <w:color w:val="auto"/>
          <w:sz w:val="32"/>
          <w:szCs w:val="32"/>
        </w:rPr>
        <w:t>单位邀约后，尽量减少外出活动，勿前往新冠肺炎中高风险地区，减少走亲访友和聚餐，尽量在家休息，减少到人员密集的公共场所活动。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40" w:lineRule="exact"/>
        <w:ind w:firstLine="640" w:firstLineChars="200"/>
        <w:textAlignment w:val="auto"/>
        <w:rPr>
          <w:rFonts w:ascii="Times New Roman" w:hAnsi="Times New Roman" w:eastAsia="仿宋"/>
          <w:color w:val="auto"/>
          <w:sz w:val="32"/>
          <w:szCs w:val="32"/>
        </w:rPr>
      </w:pPr>
      <w:r>
        <w:rPr>
          <w:rFonts w:hint="eastAsia" w:ascii="楷体" w:hAnsi="楷体" w:eastAsia="楷体" w:cs="楷体"/>
          <w:color w:val="auto"/>
          <w:kern w:val="0"/>
          <w:sz w:val="32"/>
          <w:szCs w:val="32"/>
        </w:rPr>
        <w:t>（二）</w:t>
      </w:r>
      <w:r>
        <w:rPr>
          <w:rFonts w:hint="eastAsia" w:ascii="仿宋_GB2312" w:hAnsi="仿宋_GB2312" w:eastAsia="仿宋"/>
          <w:color w:val="auto"/>
          <w:sz w:val="32"/>
          <w:szCs w:val="32"/>
          <w:lang w:val="en-US" w:eastAsia="zh-CN"/>
        </w:rPr>
        <w:t>线下对接对象</w:t>
      </w:r>
      <w:r>
        <w:rPr>
          <w:rFonts w:ascii="仿宋_GB2312" w:hAnsi="仿宋_GB2312" w:eastAsia="仿宋"/>
          <w:color w:val="auto"/>
          <w:sz w:val="32"/>
          <w:szCs w:val="32"/>
        </w:rPr>
        <w:t>在线下对接前</w:t>
      </w:r>
      <w:r>
        <w:rPr>
          <w:rFonts w:ascii="Times New Roman" w:hAnsi="Times New Roman" w:eastAsia="仿宋"/>
          <w:color w:val="auto"/>
          <w:sz w:val="32"/>
          <w:szCs w:val="32"/>
        </w:rPr>
        <w:t>14</w:t>
      </w:r>
      <w:r>
        <w:rPr>
          <w:rFonts w:ascii="仿宋_GB2312" w:hAnsi="仿宋_GB2312" w:eastAsia="仿宋"/>
          <w:color w:val="auto"/>
          <w:sz w:val="32"/>
          <w:szCs w:val="32"/>
        </w:rPr>
        <w:t>天内出现发热（</w:t>
      </w:r>
      <w:r>
        <w:rPr>
          <w:rFonts w:ascii="Times New Roman" w:hAnsi="Times New Roman" w:eastAsia="仿宋"/>
          <w:color w:val="auto"/>
          <w:sz w:val="32"/>
          <w:szCs w:val="32"/>
        </w:rPr>
        <w:t>≥37.3°C</w:t>
      </w:r>
      <w:r>
        <w:rPr>
          <w:rFonts w:ascii="仿宋_GB2312" w:hAnsi="仿宋_GB2312" w:eastAsia="仿宋"/>
          <w:color w:val="auto"/>
          <w:sz w:val="32"/>
          <w:szCs w:val="32"/>
        </w:rPr>
        <w:t>）、干咳、乏力、鼻塞、流涕、咽痛、腹泻等症状，或境外及疫情中高风险省份或区域的旅居史，应暂缓线下对接相关事宜，另行安排对接时间。</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ascii="Times New Roman" w:hAnsi="Times New Roman" w:eastAsia="仿宋"/>
          <w:color w:val="auto"/>
          <w:kern w:val="0"/>
          <w:sz w:val="32"/>
          <w:szCs w:val="32"/>
        </w:rPr>
      </w:pPr>
      <w:r>
        <w:rPr>
          <w:rFonts w:hint="eastAsia" w:ascii="楷体" w:hAnsi="楷体" w:eastAsia="楷体" w:cs="楷体"/>
          <w:color w:val="auto"/>
          <w:kern w:val="0"/>
          <w:sz w:val="32"/>
          <w:szCs w:val="32"/>
        </w:rPr>
        <w:t>（三）</w:t>
      </w:r>
      <w:r>
        <w:rPr>
          <w:rFonts w:ascii="仿宋_GB2312" w:hAnsi="仿宋_GB2312" w:eastAsia="仿宋"/>
          <w:color w:val="auto"/>
          <w:kern w:val="0"/>
          <w:sz w:val="32"/>
          <w:szCs w:val="32"/>
        </w:rPr>
        <w:t>参加线下对接的</w:t>
      </w:r>
      <w:r>
        <w:rPr>
          <w:rFonts w:hint="eastAsia" w:ascii="仿宋_GB2312" w:hAnsi="仿宋_GB2312" w:eastAsia="仿宋"/>
          <w:color w:val="auto"/>
          <w:kern w:val="0"/>
          <w:sz w:val="32"/>
          <w:szCs w:val="32"/>
          <w:lang w:val="en-US" w:eastAsia="zh-CN"/>
        </w:rPr>
        <w:t>对象</w:t>
      </w:r>
      <w:r>
        <w:rPr>
          <w:rFonts w:ascii="仿宋_GB2312" w:hAnsi="仿宋_GB2312" w:eastAsia="仿宋"/>
          <w:color w:val="auto"/>
          <w:kern w:val="0"/>
          <w:sz w:val="32"/>
          <w:szCs w:val="32"/>
        </w:rPr>
        <w:t>必须如实告知以上个人情况，如有隐瞒后果自负。</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ascii="Times New Roman" w:hAnsi="Times New Roman" w:eastAsia="仿宋"/>
          <w:color w:val="auto"/>
          <w:kern w:val="0"/>
          <w:sz w:val="32"/>
          <w:szCs w:val="32"/>
        </w:rPr>
      </w:pPr>
      <w:r>
        <w:rPr>
          <w:rFonts w:hint="eastAsia" w:ascii="楷体" w:hAnsi="楷体" w:eastAsia="楷体" w:cs="楷体"/>
          <w:color w:val="auto"/>
          <w:kern w:val="0"/>
          <w:sz w:val="32"/>
          <w:szCs w:val="32"/>
        </w:rPr>
        <w:t>（四）</w:t>
      </w:r>
      <w:r>
        <w:rPr>
          <w:rFonts w:ascii="仿宋_GB2312" w:hAnsi="仿宋_GB2312" w:eastAsia="仿宋"/>
          <w:color w:val="auto"/>
          <w:kern w:val="0"/>
          <w:sz w:val="32"/>
          <w:szCs w:val="32"/>
        </w:rPr>
        <w:t>参加线下对接的</w:t>
      </w:r>
      <w:r>
        <w:rPr>
          <w:rFonts w:hint="eastAsia" w:ascii="仿宋_GB2312" w:hAnsi="仿宋_GB2312" w:eastAsia="仿宋"/>
          <w:color w:val="auto"/>
          <w:kern w:val="0"/>
          <w:sz w:val="32"/>
          <w:szCs w:val="32"/>
          <w:lang w:val="en-US" w:eastAsia="zh-CN"/>
        </w:rPr>
        <w:t>对象</w:t>
      </w:r>
      <w:r>
        <w:rPr>
          <w:rFonts w:ascii="仿宋_GB2312" w:hAnsi="仿宋_GB2312" w:eastAsia="仿宋"/>
          <w:color w:val="auto"/>
          <w:kern w:val="0"/>
          <w:sz w:val="32"/>
          <w:szCs w:val="32"/>
        </w:rPr>
        <w:t>需在微信小程序中下载贵州健康码</w:t>
      </w:r>
      <w:r>
        <w:rPr>
          <w:rFonts w:hint="eastAsia" w:ascii="仿宋_GB2312" w:hAnsi="仿宋_GB2312" w:eastAsia="仿宋"/>
          <w:color w:val="auto"/>
          <w:kern w:val="0"/>
          <w:sz w:val="32"/>
          <w:szCs w:val="32"/>
          <w:lang w:eastAsia="zh-CN"/>
        </w:rPr>
        <w:t>、行程码，</w:t>
      </w:r>
      <w:r>
        <w:rPr>
          <w:rFonts w:ascii="仿宋_GB2312" w:hAnsi="仿宋_GB2312" w:eastAsia="仿宋"/>
          <w:color w:val="auto"/>
          <w:kern w:val="0"/>
          <w:sz w:val="32"/>
          <w:szCs w:val="32"/>
        </w:rPr>
        <w:t>并确认健康码</w:t>
      </w:r>
      <w:r>
        <w:rPr>
          <w:rFonts w:hint="eastAsia" w:ascii="仿宋_GB2312" w:hAnsi="仿宋_GB2312" w:eastAsia="仿宋"/>
          <w:color w:val="auto"/>
          <w:kern w:val="0"/>
          <w:sz w:val="32"/>
          <w:szCs w:val="32"/>
          <w:lang w:eastAsia="zh-CN"/>
        </w:rPr>
        <w:t>、行程码</w:t>
      </w:r>
      <w:r>
        <w:rPr>
          <w:rFonts w:ascii="仿宋_GB2312" w:hAnsi="仿宋_GB2312" w:eastAsia="仿宋"/>
          <w:color w:val="auto"/>
          <w:kern w:val="0"/>
          <w:sz w:val="32"/>
          <w:szCs w:val="32"/>
        </w:rPr>
        <w:t>为绿色，并经体温测量正常后，方能参加线下对接。</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ascii="仿宋_GB2312" w:hAnsi="仿宋_GB2312" w:eastAsia="仿宋"/>
          <w:color w:val="auto"/>
          <w:kern w:val="0"/>
          <w:sz w:val="32"/>
          <w:szCs w:val="32"/>
        </w:rPr>
      </w:pPr>
      <w:r>
        <w:rPr>
          <w:rFonts w:hint="eastAsia" w:ascii="楷体" w:hAnsi="楷体" w:eastAsia="楷体" w:cs="楷体"/>
          <w:color w:val="auto"/>
          <w:kern w:val="0"/>
          <w:sz w:val="32"/>
          <w:szCs w:val="32"/>
        </w:rPr>
        <w:t>（五）</w:t>
      </w:r>
      <w:r>
        <w:rPr>
          <w:rFonts w:ascii="仿宋_GB2312" w:hAnsi="仿宋_GB2312" w:eastAsia="仿宋"/>
          <w:color w:val="auto"/>
          <w:kern w:val="0"/>
          <w:sz w:val="32"/>
          <w:szCs w:val="32"/>
        </w:rPr>
        <w:t>乘坐公共交通工具参加线下对接的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hint="eastAsia" w:ascii="仿宋_GB2312" w:hAnsi="仿宋_GB2312" w:eastAsia="仿宋"/>
          <w:color w:val="auto"/>
          <w:kern w:val="0"/>
          <w:sz w:val="32"/>
          <w:szCs w:val="32"/>
        </w:rPr>
      </w:pPr>
      <w:r>
        <w:rPr>
          <w:rFonts w:hint="eastAsia" w:ascii="楷体" w:hAnsi="楷体" w:eastAsia="楷体" w:cs="楷体"/>
          <w:color w:val="auto"/>
          <w:kern w:val="0"/>
          <w:sz w:val="32"/>
          <w:szCs w:val="32"/>
          <w:lang w:eastAsia="zh-CN"/>
        </w:rPr>
        <w:t>（六）</w:t>
      </w:r>
      <w:r>
        <w:rPr>
          <w:rFonts w:hint="eastAsia" w:ascii="仿宋_GB2312" w:hAnsi="仿宋_GB2312" w:eastAsia="仿宋"/>
          <w:color w:val="auto"/>
          <w:kern w:val="0"/>
          <w:sz w:val="32"/>
          <w:szCs w:val="32"/>
        </w:rPr>
        <w:t>由组织人事部收集所有考生考前14天身体健康状况监测登记表、考生考前14天的个人情况反馈表、考生、考官及工作人员疫情防控承诺书。</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color w:val="auto"/>
        </w:rPr>
      </w:pPr>
      <w:r>
        <w:rPr>
          <w:rFonts w:hint="eastAsia" w:ascii="楷体" w:hAnsi="楷体" w:eastAsia="楷体" w:cs="楷体"/>
          <w:color w:val="auto"/>
          <w:kern w:val="0"/>
          <w:sz w:val="32"/>
          <w:szCs w:val="32"/>
          <w:lang w:eastAsia="zh-CN"/>
        </w:rPr>
        <w:t>（七）</w:t>
      </w:r>
      <w:r>
        <w:rPr>
          <w:rFonts w:hint="eastAsia" w:ascii="仿宋_GB2312" w:hAnsi="仿宋_GB2312" w:eastAsia="仿宋"/>
          <w:color w:val="auto"/>
          <w:kern w:val="0"/>
          <w:sz w:val="32"/>
          <w:szCs w:val="32"/>
        </w:rPr>
        <w:t>各考生自行打印附件</w:t>
      </w:r>
      <w:r>
        <w:rPr>
          <w:rFonts w:hint="eastAsia" w:ascii="仿宋_GB2312" w:hAnsi="仿宋_GB2312" w:eastAsia="仿宋"/>
          <w:color w:val="auto"/>
          <w:kern w:val="0"/>
          <w:sz w:val="32"/>
          <w:szCs w:val="32"/>
          <w:lang w:eastAsia="zh-CN"/>
        </w:rPr>
        <w:t>（</w:t>
      </w:r>
      <w:r>
        <w:rPr>
          <w:rFonts w:hint="eastAsia" w:ascii="仿宋_GB2312" w:hAnsi="仿宋_GB2312" w:eastAsia="仿宋"/>
          <w:color w:val="auto"/>
          <w:kern w:val="0"/>
          <w:sz w:val="32"/>
          <w:szCs w:val="32"/>
        </w:rPr>
        <w:t>个人防疫情况申报表</w:t>
      </w:r>
      <w:r>
        <w:rPr>
          <w:rFonts w:hint="eastAsia" w:ascii="仿宋_GB2312" w:hAnsi="仿宋_GB2312" w:eastAsia="仿宋"/>
          <w:color w:val="auto"/>
          <w:kern w:val="0"/>
          <w:sz w:val="32"/>
          <w:szCs w:val="32"/>
          <w:lang w:eastAsia="zh-CN"/>
        </w:rPr>
        <w:t>）</w:t>
      </w:r>
      <w:r>
        <w:rPr>
          <w:rFonts w:hint="eastAsia" w:ascii="仿宋_GB2312" w:hAnsi="仿宋_GB2312" w:eastAsia="仿宋"/>
          <w:color w:val="auto"/>
          <w:kern w:val="0"/>
          <w:sz w:val="32"/>
          <w:szCs w:val="32"/>
        </w:rPr>
        <w:t>，按要求填写相关信息，</w:t>
      </w:r>
      <w:r>
        <w:rPr>
          <w:rFonts w:hint="eastAsia" w:ascii="仿宋_GB2312" w:hAnsi="仿宋_GB2312" w:eastAsia="仿宋"/>
          <w:color w:val="auto"/>
          <w:kern w:val="0"/>
          <w:sz w:val="32"/>
          <w:szCs w:val="32"/>
          <w:lang w:eastAsia="zh-CN"/>
        </w:rPr>
        <w:t>由工作人员收取</w:t>
      </w:r>
      <w:r>
        <w:rPr>
          <w:rFonts w:hint="eastAsia" w:ascii="仿宋_GB2312" w:hAnsi="仿宋_GB2312" w:eastAsia="仿宋"/>
          <w:color w:val="auto"/>
          <w:kern w:val="0"/>
          <w:sz w:val="32"/>
          <w:szCs w:val="32"/>
        </w:rPr>
        <w:t>。</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六</w:t>
      </w:r>
      <w:r>
        <w:rPr>
          <w:rFonts w:hint="eastAsia" w:ascii="黑体" w:hAnsi="黑体" w:eastAsia="黑体" w:cs="黑体"/>
          <w:color w:val="auto"/>
          <w:kern w:val="0"/>
          <w:sz w:val="32"/>
          <w:szCs w:val="32"/>
        </w:rPr>
        <w:t>、人才对接结束后注意事项</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ascii="Times New Roman" w:hAnsi="Times New Roman" w:eastAsia="仿宋"/>
          <w:color w:val="auto"/>
          <w:kern w:val="0"/>
          <w:sz w:val="32"/>
          <w:szCs w:val="32"/>
        </w:rPr>
      </w:pPr>
      <w:r>
        <w:rPr>
          <w:rFonts w:hint="eastAsia" w:ascii="楷体" w:hAnsi="楷体" w:eastAsia="楷体" w:cs="楷体"/>
          <w:color w:val="auto"/>
          <w:kern w:val="0"/>
          <w:sz w:val="32"/>
          <w:szCs w:val="32"/>
        </w:rPr>
        <w:t>（一）</w:t>
      </w:r>
      <w:r>
        <w:rPr>
          <w:rFonts w:ascii="仿宋_GB2312" w:hAnsi="仿宋_GB2312" w:eastAsia="仿宋"/>
          <w:color w:val="auto"/>
          <w:kern w:val="0"/>
          <w:sz w:val="32"/>
          <w:szCs w:val="32"/>
        </w:rPr>
        <w:t>人才对接活动结束后，</w:t>
      </w:r>
      <w:r>
        <w:rPr>
          <w:rFonts w:hint="eastAsia" w:ascii="仿宋_GB2312" w:hAnsi="仿宋_GB2312" w:eastAsia="仿宋"/>
          <w:color w:val="auto"/>
          <w:kern w:val="0"/>
          <w:sz w:val="32"/>
          <w:szCs w:val="32"/>
          <w:lang w:val="en-US" w:eastAsia="zh-CN"/>
        </w:rPr>
        <w:t>线下对接对象或参加对接工作的人员</w:t>
      </w:r>
      <w:r>
        <w:rPr>
          <w:rFonts w:ascii="Times New Roman" w:hAnsi="Times New Roman" w:eastAsia="仿宋"/>
          <w:color w:val="auto"/>
          <w:kern w:val="0"/>
          <w:sz w:val="32"/>
          <w:szCs w:val="32"/>
        </w:rPr>
        <w:t>14</w:t>
      </w:r>
      <w:r>
        <w:rPr>
          <w:rFonts w:ascii="仿宋_GB2312" w:hAnsi="仿宋_GB2312" w:eastAsia="仿宋"/>
          <w:color w:val="auto"/>
          <w:kern w:val="0"/>
          <w:sz w:val="32"/>
          <w:szCs w:val="32"/>
        </w:rPr>
        <w:t>天内若出现发热（</w:t>
      </w:r>
      <w:r>
        <w:rPr>
          <w:rFonts w:ascii="Times New Roman" w:hAnsi="Times New Roman" w:eastAsia="仿宋"/>
          <w:color w:val="auto"/>
          <w:kern w:val="0"/>
          <w:sz w:val="32"/>
          <w:szCs w:val="32"/>
        </w:rPr>
        <w:t>≥37.3°C</w:t>
      </w:r>
      <w:r>
        <w:rPr>
          <w:rFonts w:ascii="仿宋_GB2312" w:hAnsi="仿宋_GB2312" w:eastAsia="仿宋"/>
          <w:color w:val="auto"/>
          <w:kern w:val="0"/>
          <w:sz w:val="32"/>
          <w:szCs w:val="32"/>
        </w:rPr>
        <w:t>）、干咳、乏力、鼻塞、流涕、咽痛、腹泻等症状时，或发生确诊、疑似病例接触史，应立即按照防控要求做好自我处置，并如实将相关信息告知用人单位。</w:t>
      </w:r>
    </w:p>
    <w:p>
      <w:pPr>
        <w:keepNext w:val="0"/>
        <w:keepLines w:val="0"/>
        <w:pageBreakBefore w:val="0"/>
        <w:widowControl/>
        <w:kinsoku/>
        <w:wordWrap/>
        <w:overflowPunct/>
        <w:topLinePunct w:val="0"/>
        <w:autoSpaceDE w:val="0"/>
        <w:autoSpaceDN/>
        <w:bidi w:val="0"/>
        <w:adjustRightInd/>
        <w:snapToGrid/>
        <w:spacing w:line="540" w:lineRule="exact"/>
        <w:ind w:firstLine="640"/>
        <w:jc w:val="left"/>
        <w:textAlignment w:val="auto"/>
        <w:rPr>
          <w:rFonts w:ascii="仿宋_GB2312" w:hAnsi="仿宋_GB2312" w:eastAsia="仿宋"/>
          <w:color w:val="auto"/>
          <w:kern w:val="0"/>
          <w:sz w:val="32"/>
          <w:szCs w:val="32"/>
        </w:rPr>
      </w:pPr>
      <w:r>
        <w:rPr>
          <w:rFonts w:hint="eastAsia" w:ascii="楷体" w:hAnsi="楷体" w:eastAsia="楷体" w:cs="楷体"/>
          <w:color w:val="auto"/>
          <w:kern w:val="0"/>
          <w:sz w:val="32"/>
          <w:szCs w:val="32"/>
        </w:rPr>
        <w:t>（二）</w:t>
      </w:r>
      <w:r>
        <w:rPr>
          <w:rFonts w:ascii="仿宋_GB2312" w:hAnsi="仿宋_GB2312" w:eastAsia="仿宋"/>
          <w:color w:val="auto"/>
          <w:kern w:val="0"/>
          <w:sz w:val="32"/>
          <w:szCs w:val="32"/>
        </w:rPr>
        <w:t>人才对接活动结束后，</w:t>
      </w:r>
      <w:r>
        <w:rPr>
          <w:rFonts w:hint="eastAsia" w:ascii="仿宋_GB2312" w:hAnsi="仿宋_GB2312" w:eastAsia="仿宋"/>
          <w:color w:val="auto"/>
          <w:kern w:val="0"/>
          <w:sz w:val="32"/>
          <w:szCs w:val="32"/>
          <w:lang w:val="en-US" w:eastAsia="zh-CN"/>
        </w:rPr>
        <w:t>线下对接对象或参加对接工作的人员</w:t>
      </w:r>
      <w:r>
        <w:rPr>
          <w:rFonts w:ascii="仿宋_GB2312" w:hAnsi="仿宋_GB2312" w:eastAsia="仿宋"/>
          <w:color w:val="auto"/>
          <w:kern w:val="0"/>
          <w:sz w:val="32"/>
          <w:szCs w:val="32"/>
        </w:rPr>
        <w:t>连续</w:t>
      </w:r>
      <w:r>
        <w:rPr>
          <w:rFonts w:ascii="Times New Roman" w:hAnsi="Times New Roman" w:eastAsia="仿宋"/>
          <w:color w:val="auto"/>
          <w:kern w:val="0"/>
          <w:sz w:val="32"/>
          <w:szCs w:val="32"/>
        </w:rPr>
        <w:t>14</w:t>
      </w:r>
      <w:r>
        <w:rPr>
          <w:rFonts w:ascii="仿宋_GB2312" w:hAnsi="仿宋_GB2312" w:eastAsia="仿宋"/>
          <w:color w:val="auto"/>
          <w:kern w:val="0"/>
          <w:sz w:val="32"/>
          <w:szCs w:val="32"/>
        </w:rPr>
        <w:t>天每日将个人体温情况反馈至用人单位。</w:t>
      </w:r>
    </w:p>
    <w:p>
      <w:pPr>
        <w:pStyle w:val="2"/>
        <w:keepNext w:val="0"/>
        <w:keepLines w:val="0"/>
        <w:pageBreakBefore w:val="0"/>
        <w:kinsoku/>
        <w:wordWrap/>
        <w:overflowPunct/>
        <w:topLinePunct w:val="0"/>
        <w:autoSpaceDN/>
        <w:bidi w:val="0"/>
        <w:adjustRightInd/>
        <w:snapToGrid/>
        <w:spacing w:before="0" w:after="0" w:line="540" w:lineRule="exact"/>
        <w:textAlignment w:val="auto"/>
        <w:rPr>
          <w:rFonts w:ascii="仿宋_GB2312" w:hAnsi="仿宋_GB2312" w:eastAsia="仿宋"/>
          <w:color w:val="auto"/>
          <w:kern w:val="0"/>
          <w:sz w:val="32"/>
          <w:szCs w:val="32"/>
        </w:rPr>
      </w:pPr>
    </w:p>
    <w:p>
      <w:pPr>
        <w:pStyle w:val="2"/>
        <w:keepNext w:val="0"/>
        <w:keepLines w:val="0"/>
        <w:pageBreakBefore w:val="0"/>
        <w:kinsoku/>
        <w:wordWrap/>
        <w:overflowPunct/>
        <w:topLinePunct w:val="0"/>
        <w:autoSpaceDN/>
        <w:bidi w:val="0"/>
        <w:adjustRightInd/>
        <w:snapToGrid/>
        <w:spacing w:before="0" w:after="0" w:line="540" w:lineRule="exact"/>
        <w:textAlignment w:val="auto"/>
        <w:rPr>
          <w:rFonts w:ascii="仿宋_GB2312" w:hAnsi="仿宋_GB2312" w:eastAsia="仿宋"/>
          <w:color w:val="auto"/>
          <w:kern w:val="0"/>
          <w:sz w:val="32"/>
          <w:szCs w:val="32"/>
        </w:rPr>
      </w:pPr>
      <w:bookmarkStart w:id="0" w:name="_GoBack"/>
      <w:bookmarkEnd w:id="0"/>
    </w:p>
    <w:p>
      <w:pPr>
        <w:pStyle w:val="2"/>
        <w:keepNext w:val="0"/>
        <w:keepLines w:val="0"/>
        <w:pageBreakBefore w:val="0"/>
        <w:kinsoku/>
        <w:wordWrap/>
        <w:overflowPunct/>
        <w:topLinePunct w:val="0"/>
        <w:autoSpaceDN/>
        <w:bidi w:val="0"/>
        <w:adjustRightInd/>
        <w:snapToGrid/>
        <w:spacing w:before="0" w:after="0" w:line="540" w:lineRule="exact"/>
        <w:textAlignment w:val="auto"/>
        <w:rPr>
          <w:rFonts w:hint="eastAsia" w:ascii="仿宋_GB2312" w:hAnsi="仿宋_GB2312" w:eastAsia="仿宋"/>
          <w:color w:val="auto"/>
          <w:kern w:val="0"/>
          <w:sz w:val="32"/>
          <w:szCs w:val="32"/>
        </w:rPr>
      </w:pPr>
    </w:p>
    <w:p>
      <w:pPr>
        <w:pStyle w:val="2"/>
        <w:keepNext w:val="0"/>
        <w:keepLines w:val="0"/>
        <w:pageBreakBefore w:val="0"/>
        <w:kinsoku/>
        <w:wordWrap/>
        <w:overflowPunct/>
        <w:topLinePunct w:val="0"/>
        <w:autoSpaceDN/>
        <w:bidi w:val="0"/>
        <w:adjustRightInd/>
        <w:snapToGrid/>
        <w:spacing w:before="0" w:after="0" w:line="540" w:lineRule="exact"/>
        <w:jc w:val="right"/>
        <w:textAlignment w:val="auto"/>
        <w:rPr>
          <w:rFonts w:hint="eastAsia" w:eastAsia="仿宋"/>
          <w:color w:val="auto"/>
          <w:sz w:val="32"/>
          <w:lang w:val="en-US" w:eastAsia="zh-CN"/>
        </w:rPr>
      </w:pPr>
      <w:r>
        <w:rPr>
          <w:rFonts w:hint="eastAsia" w:eastAsia="仿宋"/>
          <w:color w:val="auto"/>
          <w:sz w:val="32"/>
        </w:rPr>
        <w:t>黔西南</w:t>
      </w:r>
      <w:r>
        <w:rPr>
          <w:rFonts w:hint="eastAsia" w:eastAsia="仿宋"/>
          <w:color w:val="auto"/>
          <w:sz w:val="32"/>
          <w:lang w:val="en-US" w:eastAsia="zh-CN"/>
        </w:rPr>
        <w:t>民族职业技术学院</w:t>
      </w:r>
    </w:p>
    <w:p>
      <w:pPr>
        <w:pStyle w:val="2"/>
        <w:keepNext w:val="0"/>
        <w:keepLines w:val="0"/>
        <w:pageBreakBefore w:val="0"/>
        <w:kinsoku/>
        <w:wordWrap/>
        <w:overflowPunct/>
        <w:topLinePunct w:val="0"/>
        <w:autoSpaceDN/>
        <w:bidi w:val="0"/>
        <w:adjustRightInd/>
        <w:snapToGrid/>
        <w:spacing w:before="0" w:after="0" w:line="540" w:lineRule="exact"/>
        <w:jc w:val="right"/>
        <w:textAlignment w:val="auto"/>
        <w:rPr>
          <w:rFonts w:hint="eastAsia" w:eastAsia="仿宋"/>
          <w:color w:val="auto"/>
          <w:sz w:val="32"/>
        </w:rPr>
      </w:pPr>
      <w:r>
        <w:rPr>
          <w:rFonts w:hint="eastAsia" w:eastAsia="仿宋"/>
          <w:color w:val="auto"/>
          <w:sz w:val="32"/>
        </w:rPr>
        <w:t>人才引进考核领导小组</w:t>
      </w:r>
    </w:p>
    <w:p>
      <w:pPr>
        <w:pStyle w:val="2"/>
        <w:keepNext w:val="0"/>
        <w:keepLines w:val="0"/>
        <w:pageBreakBefore w:val="0"/>
        <w:kinsoku/>
        <w:wordWrap/>
        <w:overflowPunct/>
        <w:topLinePunct w:val="0"/>
        <w:autoSpaceDN/>
        <w:bidi w:val="0"/>
        <w:adjustRightInd/>
        <w:snapToGrid/>
        <w:spacing w:before="0" w:after="0" w:line="540" w:lineRule="exact"/>
        <w:ind w:firstLine="5120" w:firstLineChars="1600"/>
        <w:textAlignment w:val="auto"/>
        <w:rPr>
          <w:rFonts w:eastAsia="仿宋"/>
          <w:color w:val="auto"/>
          <w:sz w:val="32"/>
        </w:rPr>
      </w:pPr>
      <w:r>
        <w:rPr>
          <w:rFonts w:hint="eastAsia" w:eastAsia="仿宋"/>
          <w:color w:val="auto"/>
          <w:sz w:val="32"/>
          <w:lang w:val="en-US" w:eastAsia="zh-CN"/>
        </w:rPr>
        <w:t xml:space="preserve">    </w:t>
      </w:r>
      <w:r>
        <w:rPr>
          <w:rFonts w:hint="eastAsia" w:eastAsia="仿宋"/>
          <w:color w:val="auto"/>
          <w:sz w:val="32"/>
        </w:rPr>
        <w:t>202</w:t>
      </w:r>
      <w:r>
        <w:rPr>
          <w:rFonts w:hint="eastAsia" w:eastAsia="仿宋"/>
          <w:color w:val="auto"/>
          <w:sz w:val="32"/>
          <w:lang w:val="en-US" w:eastAsia="zh-CN"/>
        </w:rPr>
        <w:t>2</w:t>
      </w:r>
      <w:r>
        <w:rPr>
          <w:rFonts w:hint="eastAsia" w:eastAsia="仿宋"/>
          <w:color w:val="auto"/>
          <w:sz w:val="32"/>
        </w:rPr>
        <w:t>年</w:t>
      </w:r>
      <w:r>
        <w:rPr>
          <w:rFonts w:hint="eastAsia" w:eastAsia="仿宋"/>
          <w:color w:val="auto"/>
          <w:sz w:val="32"/>
          <w:lang w:val="en-US" w:eastAsia="zh-CN"/>
        </w:rPr>
        <w:t>6</w:t>
      </w:r>
      <w:r>
        <w:rPr>
          <w:rFonts w:hint="eastAsia" w:eastAsia="仿宋"/>
          <w:color w:val="auto"/>
          <w:sz w:val="32"/>
          <w:lang w:eastAsia="zh-CN"/>
        </w:rPr>
        <w:t>月</w:t>
      </w:r>
      <w:r>
        <w:rPr>
          <w:rFonts w:hint="eastAsia" w:eastAsia="仿宋"/>
          <w:color w:val="auto"/>
          <w:sz w:val="32"/>
          <w:lang w:val="en-US" w:eastAsia="zh-CN"/>
        </w:rPr>
        <w:t>17</w:t>
      </w:r>
      <w:r>
        <w:rPr>
          <w:rFonts w:hint="eastAsia" w:eastAsia="仿宋"/>
          <w:color w:val="auto"/>
          <w:sz w:val="32"/>
        </w:rPr>
        <w:t>日</w:t>
      </w:r>
    </w:p>
    <w:p>
      <w:pPr>
        <w:pStyle w:val="5"/>
        <w:keepNext w:val="0"/>
        <w:keepLines w:val="0"/>
        <w:pageBreakBefore w:val="0"/>
        <w:widowControl/>
        <w:shd w:val="clear" w:color="auto" w:fill="FFFFFF"/>
        <w:kinsoku/>
        <w:wordWrap/>
        <w:overflowPunct/>
        <w:topLinePunct w:val="0"/>
        <w:autoSpaceDN/>
        <w:bidi w:val="0"/>
        <w:adjustRightInd/>
        <w:snapToGrid/>
        <w:spacing w:line="540" w:lineRule="exact"/>
        <w:jc w:val="both"/>
        <w:textAlignment w:val="auto"/>
        <w:rPr>
          <w:rFonts w:hint="eastAsia" w:ascii="宋体" w:hAnsi="宋体" w:cs="宋体"/>
          <w:b/>
          <w:bCs/>
          <w:color w:val="auto"/>
          <w:sz w:val="28"/>
          <w:szCs w:val="28"/>
          <w:shd w:val="clear" w:color="auto" w:fill="FFFFFF"/>
        </w:rPr>
        <w:sectPr>
          <w:pgSz w:w="11906" w:h="16838"/>
          <w:pgMar w:top="1440" w:right="1803" w:bottom="1440" w:left="1803" w:header="851" w:footer="992" w:gutter="0"/>
          <w:cols w:space="0" w:num="1"/>
          <w:docGrid w:type="lines" w:linePitch="319" w:charSpace="0"/>
        </w:sectPr>
      </w:pPr>
    </w:p>
    <w:p>
      <w:pPr>
        <w:pStyle w:val="5"/>
        <w:widowControl/>
        <w:shd w:val="clear" w:color="auto" w:fill="FFFFFF"/>
        <w:jc w:val="both"/>
        <w:rPr>
          <w:rFonts w:ascii="仿宋_GB2312" w:hAnsi="仿宋_GB2312"/>
          <w:b w:val="0"/>
          <w:bCs/>
          <w:color w:val="auto"/>
          <w:kern w:val="0"/>
          <w:sz w:val="21"/>
          <w:szCs w:val="21"/>
        </w:rPr>
      </w:pPr>
      <w:r>
        <w:rPr>
          <w:rFonts w:hint="eastAsia" w:ascii="宋体" w:hAnsi="宋体" w:cs="宋体"/>
          <w:b/>
          <w:bCs/>
          <w:color w:val="auto"/>
          <w:sz w:val="28"/>
          <w:szCs w:val="28"/>
          <w:shd w:val="clear" w:color="auto" w:fill="FFFFFF"/>
        </w:rPr>
        <w:t>附件</w:t>
      </w:r>
    </w:p>
    <w:p>
      <w:pPr>
        <w:pStyle w:val="3"/>
        <w:spacing w:line="600" w:lineRule="exact"/>
        <w:ind w:left="0" w:leftChars="0"/>
        <w:jc w:val="center"/>
        <w:rPr>
          <w:rFonts w:ascii="仿宋_GB2312" w:hAnsi="仿宋_GB2312"/>
          <w:b/>
          <w:color w:val="auto"/>
        </w:rPr>
      </w:pPr>
      <w:r>
        <w:rPr>
          <w:rFonts w:ascii="方正小标宋简体" w:hAnsi="方正小标宋简体" w:cs="仿宋_GB2312"/>
          <w:b/>
          <w:color w:val="auto"/>
          <w:sz w:val="36"/>
          <w:szCs w:val="36"/>
        </w:rPr>
        <w:t>个人防疫情况申报表</w:t>
      </w:r>
      <w:r>
        <w:rPr>
          <w:rFonts w:ascii="仿宋_GB2312" w:hAnsi="仿宋_GB2312"/>
          <w:b/>
          <w:color w:val="aut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385"/>
        <w:gridCol w:w="1510"/>
        <w:gridCol w:w="1510"/>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姓  名</w:t>
            </w:r>
          </w:p>
        </w:tc>
        <w:tc>
          <w:tcPr>
            <w:tcW w:w="1385" w:type="dxa"/>
            <w:tcBorders>
              <w:top w:val="single" w:color="auto" w:sz="4" w:space="0"/>
              <w:left w:val="nil"/>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p>
        </w:tc>
        <w:tc>
          <w:tcPr>
            <w:tcW w:w="1510"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性  别</w:t>
            </w:r>
          </w:p>
        </w:tc>
        <w:tc>
          <w:tcPr>
            <w:tcW w:w="1510"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仿宋_GB2312" w:hAnsi="仿宋_GB2312" w:eastAsia="仿宋_GB2312" w:cs="仿宋_GB2312"/>
                <w:b/>
                <w:color w:val="auto"/>
                <w:kern w:val="0"/>
                <w:sz w:val="24"/>
                <w:szCs w:val="24"/>
              </w:rPr>
            </w:pPr>
          </w:p>
        </w:tc>
        <w:tc>
          <w:tcPr>
            <w:tcW w:w="1510"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年  龄</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sz w:val="24"/>
                <w:szCs w:val="24"/>
              </w:rPr>
              <w:t>身份证号</w:t>
            </w:r>
            <w:r>
              <w:rPr>
                <w:rFonts w:hint="eastAsia" w:ascii="仿宋_GB2312" w:hAnsi="仿宋_GB2312" w:eastAsia="仿宋_GB2312" w:cs="仿宋_GB2312"/>
                <w:b/>
                <w:color w:val="auto"/>
                <w:sz w:val="24"/>
                <w:szCs w:val="24"/>
                <w:lang w:eastAsia="zh-CN"/>
              </w:rPr>
              <w:t>码</w:t>
            </w:r>
          </w:p>
        </w:tc>
        <w:tc>
          <w:tcPr>
            <w:tcW w:w="4405" w:type="dxa"/>
            <w:gridSpan w:val="3"/>
            <w:tcBorders>
              <w:top w:val="single" w:color="auto" w:sz="4" w:space="0"/>
              <w:left w:val="nil"/>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手机号码</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工作单位</w:t>
            </w:r>
          </w:p>
        </w:tc>
        <w:tc>
          <w:tcPr>
            <w:tcW w:w="7426" w:type="dxa"/>
            <w:gridSpan w:val="5"/>
            <w:tcBorders>
              <w:top w:val="single" w:color="auto" w:sz="4" w:space="0"/>
              <w:left w:val="nil"/>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Borders>
              <w:top w:val="single" w:color="auto" w:sz="4" w:space="0"/>
              <w:left w:val="single" w:color="auto" w:sz="4" w:space="0"/>
              <w:bottom w:val="single" w:color="auto" w:sz="4" w:space="0"/>
              <w:right w:val="single" w:color="auto" w:sz="4" w:space="0"/>
            </w:tcBorders>
            <w:vAlign w:val="center"/>
          </w:tcPr>
          <w:p>
            <w:pPr>
              <w:pStyle w:val="3"/>
              <w:spacing w:line="460" w:lineRule="exact"/>
              <w:jc w:val="center"/>
              <w:rPr>
                <w:rFonts w:hint="eastAsia" w:ascii="仿宋_GB2312" w:hAnsi="仿宋_GB2312" w:eastAsia="仿宋_GB2312" w:cs="仿宋_GB2312"/>
                <w:b/>
                <w:color w:val="auto"/>
                <w:sz w:val="24"/>
                <w:szCs w:val="24"/>
              </w:rPr>
            </w:pP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月</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日</w:t>
            </w:r>
            <w:r>
              <w:rPr>
                <w:rFonts w:hint="eastAsia" w:ascii="仿宋_GB2312" w:hAnsi="仿宋_GB2312" w:eastAsia="仿宋_GB2312" w:cs="仿宋_GB2312"/>
                <w:b/>
                <w:color w:val="auto"/>
                <w:sz w:val="24"/>
                <w:szCs w:val="24"/>
                <w:lang w:eastAsia="zh-CN"/>
              </w:rPr>
              <w:t>至</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月</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日旅居史、健康史及接触史情况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是否有国外旅居史</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是否有港、台旅居史</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是否有高中风险地区旅居史</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是否曾被诊断为新冠肺炎确诊病例或无症状感染者</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是否与新冠肺炎确诊病例或无症状感染者有密切接触</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是否与来自高中风险疫情地区人员有密切接触</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密切接触的家属及同事是否有发热等症状</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密切接触的家属及同事是否有高中风险地区、港台地区及国境外旅居史</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4"/>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是否接种新冠肺炎疫苗</w:t>
            </w:r>
          </w:p>
        </w:tc>
        <w:tc>
          <w:tcPr>
            <w:tcW w:w="1510"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是口</w:t>
            </w:r>
          </w:p>
        </w:tc>
        <w:tc>
          <w:tcPr>
            <w:tcW w:w="1511" w:type="dxa"/>
            <w:tcBorders>
              <w:top w:val="single" w:color="auto" w:sz="4" w:space="0"/>
              <w:left w:val="nil"/>
              <w:bottom w:val="single" w:color="auto" w:sz="4" w:space="0"/>
              <w:right w:val="single" w:color="auto" w:sz="4" w:space="0"/>
            </w:tcBorders>
            <w:vAlign w:val="center"/>
          </w:tcPr>
          <w:p>
            <w:pPr>
              <w:pStyle w:val="3"/>
              <w:spacing w:line="46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本人</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月</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日以来健康状况:发热口 乏力口 咽痛口 咳嗽口 腹泻口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060" w:type="dxa"/>
            <w:gridSpan w:val="6"/>
            <w:tcBorders>
              <w:top w:val="single" w:color="auto" w:sz="4" w:space="0"/>
              <w:left w:val="single" w:color="auto" w:sz="4" w:space="0"/>
              <w:bottom w:val="single" w:color="auto" w:sz="4" w:space="0"/>
              <w:right w:val="single" w:color="auto" w:sz="4" w:space="0"/>
            </w:tcBorders>
            <w:vAlign w:val="center"/>
          </w:tcPr>
          <w:p>
            <w:pPr>
              <w:pStyle w:val="3"/>
              <w:spacing w:line="460" w:lineRule="exact"/>
              <w:ind w:left="0" w:left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其他需要说明的情况:</w:t>
            </w:r>
          </w:p>
          <w:p>
            <w:pPr>
              <w:pStyle w:val="3"/>
              <w:spacing w:line="460" w:lineRule="exact"/>
              <w:ind w:left="0" w:leftChars="0"/>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9060" w:type="dxa"/>
            <w:gridSpan w:val="6"/>
            <w:tcBorders>
              <w:top w:val="single" w:color="auto" w:sz="4" w:space="0"/>
              <w:left w:val="single" w:color="auto" w:sz="4" w:space="0"/>
              <w:bottom w:val="single" w:color="auto" w:sz="4" w:space="0"/>
              <w:right w:val="single" w:color="auto" w:sz="4" w:space="0"/>
            </w:tcBorders>
            <w:vAlign w:val="center"/>
          </w:tcPr>
          <w:p>
            <w:pPr>
              <w:pStyle w:val="3"/>
              <w:spacing w:line="520" w:lineRule="exact"/>
              <w:ind w:left="0" w:leftChars="0" w:firstLine="241" w:firstLineChars="10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本人对上述提供的健康相关信息的真实性负责。如因不实信息引起疫情传播和扩散，本人愿意承担由此带来的全部法律责任。</w:t>
            </w:r>
          </w:p>
          <w:p>
            <w:pPr>
              <w:pStyle w:val="3"/>
              <w:spacing w:line="520" w:lineRule="exact"/>
              <w:ind w:left="0" w:leftChars="0" w:firstLine="241" w:firstLineChars="10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承诺人:                          日期:</w:t>
            </w:r>
            <w:r>
              <w:rPr>
                <w:rFonts w:hint="eastAsia" w:ascii="仿宋_GB2312" w:hAnsi="仿宋_GB2312" w:eastAsia="仿宋_GB2312" w:cs="仿宋_GB2312"/>
                <w:b/>
                <w:color w:val="auto"/>
                <w:sz w:val="24"/>
                <w:szCs w:val="24"/>
                <w:lang w:val="en-US" w:eastAsia="zh-CN"/>
              </w:rPr>
              <w:t>2022</w:t>
            </w:r>
            <w:r>
              <w:rPr>
                <w:rFonts w:hint="eastAsia" w:ascii="仿宋_GB2312" w:hAnsi="仿宋_GB2312" w:eastAsia="仿宋_GB2312" w:cs="仿宋_GB2312"/>
                <w:b/>
                <w:color w:val="auto"/>
                <w:sz w:val="24"/>
                <w:szCs w:val="24"/>
              </w:rPr>
              <w:t>年</w:t>
            </w:r>
            <w:r>
              <w:rPr>
                <w:rFonts w:hint="eastAsia"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月   日</w:t>
            </w:r>
          </w:p>
        </w:tc>
      </w:tr>
    </w:tbl>
    <w:p>
      <w:pPr>
        <w:pStyle w:val="2"/>
        <w:rPr>
          <w:color w:val="auto"/>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134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1345"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7.35pt;mso-position-horizontal:outside;mso-position-horizontal-relative:margin;mso-wrap-style:none;z-index:251659264;mso-width-relative:page;mso-height-relative:page;" filled="f" stroked="f" coordsize="21600,21600" o:gfxdata="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NyEqLSAAAAAwEAAA8AAAAAAAAAAQAgAAAAIgAAAGRycy9k&#10;b3ducmV2LnhtbFBLAQIUABQAAAAIAIdO4kAPj3twCAIAAAIEAAAOAAAAAAAAAAEAIAAAACEBAABk&#10;cnMvZTJvRG9jLnhtbFBLBQYAAAAABgAGAFkBAACb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0052672C"/>
    <w:rsid w:val="00327CB1"/>
    <w:rsid w:val="0052672C"/>
    <w:rsid w:val="00E953AD"/>
    <w:rsid w:val="014C4DA3"/>
    <w:rsid w:val="0176597C"/>
    <w:rsid w:val="018A58CB"/>
    <w:rsid w:val="01AD3BB1"/>
    <w:rsid w:val="02362B73"/>
    <w:rsid w:val="025F6CA1"/>
    <w:rsid w:val="026A2F8D"/>
    <w:rsid w:val="02C773FC"/>
    <w:rsid w:val="036068E4"/>
    <w:rsid w:val="03A03184"/>
    <w:rsid w:val="043F299D"/>
    <w:rsid w:val="07C8688D"/>
    <w:rsid w:val="0A0D52EB"/>
    <w:rsid w:val="0B756426"/>
    <w:rsid w:val="0D3A01A5"/>
    <w:rsid w:val="0F144A26"/>
    <w:rsid w:val="0F227DDB"/>
    <w:rsid w:val="0F515C7A"/>
    <w:rsid w:val="0FE30432"/>
    <w:rsid w:val="10D64689"/>
    <w:rsid w:val="11427629"/>
    <w:rsid w:val="11B04EDA"/>
    <w:rsid w:val="1230601B"/>
    <w:rsid w:val="12914675"/>
    <w:rsid w:val="12A84750"/>
    <w:rsid w:val="14BD43BB"/>
    <w:rsid w:val="14C173FE"/>
    <w:rsid w:val="152B7B4E"/>
    <w:rsid w:val="152D6842"/>
    <w:rsid w:val="15B83799"/>
    <w:rsid w:val="16D0338A"/>
    <w:rsid w:val="178740D3"/>
    <w:rsid w:val="192A7594"/>
    <w:rsid w:val="19D35C0A"/>
    <w:rsid w:val="1A3C4ACE"/>
    <w:rsid w:val="1A4B1C44"/>
    <w:rsid w:val="1AB134CB"/>
    <w:rsid w:val="1AC317F1"/>
    <w:rsid w:val="1AEC355D"/>
    <w:rsid w:val="1B012B46"/>
    <w:rsid w:val="1B3C2F0E"/>
    <w:rsid w:val="1D271CD1"/>
    <w:rsid w:val="1D81597C"/>
    <w:rsid w:val="1DA8115B"/>
    <w:rsid w:val="1F364BFB"/>
    <w:rsid w:val="1F9D5BA0"/>
    <w:rsid w:val="1FFE1506"/>
    <w:rsid w:val="20332974"/>
    <w:rsid w:val="20461183"/>
    <w:rsid w:val="22085115"/>
    <w:rsid w:val="22A37674"/>
    <w:rsid w:val="233203AC"/>
    <w:rsid w:val="233B74E0"/>
    <w:rsid w:val="23861EF1"/>
    <w:rsid w:val="23BC14BC"/>
    <w:rsid w:val="23C00551"/>
    <w:rsid w:val="245714E0"/>
    <w:rsid w:val="2614110A"/>
    <w:rsid w:val="2685028B"/>
    <w:rsid w:val="26E52796"/>
    <w:rsid w:val="27014466"/>
    <w:rsid w:val="27351351"/>
    <w:rsid w:val="27717962"/>
    <w:rsid w:val="28483B04"/>
    <w:rsid w:val="2A9A007E"/>
    <w:rsid w:val="2B754156"/>
    <w:rsid w:val="2BE73158"/>
    <w:rsid w:val="2CC15D95"/>
    <w:rsid w:val="2EC04B0C"/>
    <w:rsid w:val="2FAA054B"/>
    <w:rsid w:val="2FBA2A45"/>
    <w:rsid w:val="2FE73D65"/>
    <w:rsid w:val="3006662A"/>
    <w:rsid w:val="30CC3D88"/>
    <w:rsid w:val="30DA36E8"/>
    <w:rsid w:val="3178583E"/>
    <w:rsid w:val="323A4620"/>
    <w:rsid w:val="32706EED"/>
    <w:rsid w:val="33A12E47"/>
    <w:rsid w:val="33B23320"/>
    <w:rsid w:val="343C68CD"/>
    <w:rsid w:val="352267FD"/>
    <w:rsid w:val="35274A44"/>
    <w:rsid w:val="35D042B3"/>
    <w:rsid w:val="36064535"/>
    <w:rsid w:val="37A64EA4"/>
    <w:rsid w:val="37A74BB2"/>
    <w:rsid w:val="37B72974"/>
    <w:rsid w:val="382C5734"/>
    <w:rsid w:val="395D0BF4"/>
    <w:rsid w:val="39633FB8"/>
    <w:rsid w:val="3A716347"/>
    <w:rsid w:val="3AED2FE3"/>
    <w:rsid w:val="3B162335"/>
    <w:rsid w:val="3B1639FD"/>
    <w:rsid w:val="3B660234"/>
    <w:rsid w:val="3BB24CDF"/>
    <w:rsid w:val="3C4936B2"/>
    <w:rsid w:val="3E0541BC"/>
    <w:rsid w:val="3E6E4ECC"/>
    <w:rsid w:val="3EB92EAD"/>
    <w:rsid w:val="4047615A"/>
    <w:rsid w:val="435C5D4C"/>
    <w:rsid w:val="44D764AE"/>
    <w:rsid w:val="44DB5B70"/>
    <w:rsid w:val="453B27CE"/>
    <w:rsid w:val="465A6BE7"/>
    <w:rsid w:val="46800124"/>
    <w:rsid w:val="47C3149F"/>
    <w:rsid w:val="480E00CC"/>
    <w:rsid w:val="4A4B65A8"/>
    <w:rsid w:val="4AA03036"/>
    <w:rsid w:val="4B1F03FF"/>
    <w:rsid w:val="4BA948F7"/>
    <w:rsid w:val="4BCC36DF"/>
    <w:rsid w:val="4C40062D"/>
    <w:rsid w:val="4C8C0BFE"/>
    <w:rsid w:val="5057029E"/>
    <w:rsid w:val="5150055F"/>
    <w:rsid w:val="51CF304E"/>
    <w:rsid w:val="52B06299"/>
    <w:rsid w:val="5403369A"/>
    <w:rsid w:val="58433087"/>
    <w:rsid w:val="588820E6"/>
    <w:rsid w:val="590B1FC3"/>
    <w:rsid w:val="59655E61"/>
    <w:rsid w:val="59C80B47"/>
    <w:rsid w:val="59E44CEE"/>
    <w:rsid w:val="5A2570B4"/>
    <w:rsid w:val="5A574166"/>
    <w:rsid w:val="5A6A3274"/>
    <w:rsid w:val="5C096DC6"/>
    <w:rsid w:val="5E373E16"/>
    <w:rsid w:val="5F7D5EC9"/>
    <w:rsid w:val="6080493C"/>
    <w:rsid w:val="60B4309E"/>
    <w:rsid w:val="61657B33"/>
    <w:rsid w:val="617D3332"/>
    <w:rsid w:val="62035F2D"/>
    <w:rsid w:val="62C065E5"/>
    <w:rsid w:val="64091C53"/>
    <w:rsid w:val="64450794"/>
    <w:rsid w:val="65005322"/>
    <w:rsid w:val="65AB0416"/>
    <w:rsid w:val="66F978FF"/>
    <w:rsid w:val="6760797E"/>
    <w:rsid w:val="685A3176"/>
    <w:rsid w:val="68C1269E"/>
    <w:rsid w:val="69893C3F"/>
    <w:rsid w:val="6A7A4075"/>
    <w:rsid w:val="6A8B4D12"/>
    <w:rsid w:val="6C513AAB"/>
    <w:rsid w:val="6C77528E"/>
    <w:rsid w:val="6D7E46BA"/>
    <w:rsid w:val="6F374C1B"/>
    <w:rsid w:val="6F6E713D"/>
    <w:rsid w:val="6FCE205B"/>
    <w:rsid w:val="741D2E7E"/>
    <w:rsid w:val="74827185"/>
    <w:rsid w:val="75090222"/>
    <w:rsid w:val="75197A3D"/>
    <w:rsid w:val="75CC4195"/>
    <w:rsid w:val="7625426C"/>
    <w:rsid w:val="765863F0"/>
    <w:rsid w:val="76F53C3E"/>
    <w:rsid w:val="771B7517"/>
    <w:rsid w:val="771C2E6F"/>
    <w:rsid w:val="77E23208"/>
    <w:rsid w:val="78CC09CF"/>
    <w:rsid w:val="78FF5E22"/>
    <w:rsid w:val="79FF7A8C"/>
    <w:rsid w:val="7A5731A8"/>
    <w:rsid w:val="7AD61FD9"/>
    <w:rsid w:val="7B2F16E9"/>
    <w:rsid w:val="7B2F3497"/>
    <w:rsid w:val="7B551150"/>
    <w:rsid w:val="7D080C31"/>
    <w:rsid w:val="7D4846E0"/>
    <w:rsid w:val="7DAA645A"/>
    <w:rsid w:val="7E0230E5"/>
    <w:rsid w:val="7F1B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spacing w:before="100" w:beforeAutospacing="1" w:after="100" w:afterAutospacing="1"/>
      <w:ind w:left="420" w:leftChars="200"/>
    </w:pPr>
    <w:rPr>
      <w:rFonts w:ascii="仿宋_GB2312" w:hAnsi="仿宋_GB2312" w:eastAsia="宋体" w:cs="宋体"/>
      <w:kern w:val="0"/>
      <w:sz w:val="32"/>
      <w:szCs w:val="32"/>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Normal (Web)"/>
    <w:basedOn w:val="1"/>
    <w:qFormat/>
    <w:uiPriority w:val="0"/>
    <w:pPr>
      <w:jc w:val="left"/>
    </w:pPr>
    <w:rPr>
      <w:kern w:val="0"/>
      <w:sz w:val="24"/>
    </w:rPr>
  </w:style>
  <w:style w:type="character" w:styleId="8">
    <w:name w:val="Strong"/>
    <w:basedOn w:val="7"/>
    <w:qFormat/>
    <w:uiPriority w:val="22"/>
    <w:rPr>
      <w:b/>
    </w:rPr>
  </w:style>
  <w:style w:type="character" w:customStyle="1" w:styleId="9">
    <w:name w:val="页脚 Char"/>
    <w:basedOn w:val="7"/>
    <w:link w:val="4"/>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4009</Words>
  <Characters>4084</Characters>
  <Lines>12</Lines>
  <Paragraphs>3</Paragraphs>
  <TotalTime>1</TotalTime>
  <ScaleCrop>false</ScaleCrop>
  <LinksUpToDate>false</LinksUpToDate>
  <CharactersWithSpaces>4142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Miss fan</cp:lastModifiedBy>
  <dcterms:modified xsi:type="dcterms:W3CDTF">2022-06-17T02:48:16Z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F6426873E6C9462CAD97D2E2912A9960</vt:lpwstr>
  </property>
</Properties>
</file>