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2022年度郎溪县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相关县直事业单位</w:t>
      </w:r>
      <w:r>
        <w:rPr>
          <w:rFonts w:hint="eastAsia" w:ascii="宋体" w:hAnsi="宋体"/>
          <w:b/>
          <w:color w:val="000000"/>
          <w:sz w:val="44"/>
          <w:szCs w:val="44"/>
        </w:rPr>
        <w:t>引进急需紧缺专业人才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教体系统</w:t>
      </w:r>
      <w:r>
        <w:rPr>
          <w:rFonts w:hint="eastAsia" w:ascii="宋体" w:hAnsi="宋体"/>
          <w:b/>
          <w:color w:val="000000"/>
          <w:sz w:val="44"/>
          <w:szCs w:val="44"/>
        </w:rPr>
        <w:t>专业测试</w:t>
      </w:r>
    </w:p>
    <w:p>
      <w:pPr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使用教材</w:t>
      </w:r>
    </w:p>
    <w:tbl>
      <w:tblPr>
        <w:tblStyle w:val="3"/>
        <w:tblW w:w="10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643"/>
        <w:gridCol w:w="974"/>
        <w:gridCol w:w="2675"/>
        <w:gridCol w:w="1964"/>
        <w:gridCol w:w="2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采用教材（新教材）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2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 （</w:t>
            </w:r>
            <w:r>
              <w:rPr>
                <w:rFonts w:hint="eastAsia"/>
                <w:b/>
                <w:bCs/>
                <w:sz w:val="24"/>
                <w:szCs w:val="24"/>
              </w:rPr>
              <w:t>ISBN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郎溪中学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语文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选择性必修下册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人民教育出版社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978—7—107—35025—2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郎溪中学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选择性必修第三册A版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人民教育出版社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978—7—107—34598—2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郎溪中学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化学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选择性必修3有机化学基础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人民教育出版社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978—7—107—34604—2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郎溪中学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选择性必修3生物技术与工程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人民教育出版社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978—7—107—34601—2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ZmYWVkZGU4Mjc1ZWMyNTc5Y2UwNGZjN2EwNzVmNGMifQ=="/>
  </w:docVars>
  <w:rsids>
    <w:rsidRoot w:val="002E43CD"/>
    <w:rsid w:val="00064B20"/>
    <w:rsid w:val="002E43CD"/>
    <w:rsid w:val="00472C54"/>
    <w:rsid w:val="00B0603E"/>
    <w:rsid w:val="00B111F2"/>
    <w:rsid w:val="0F106187"/>
    <w:rsid w:val="1EA205D6"/>
    <w:rsid w:val="5D17501F"/>
    <w:rsid w:val="6FECF7C8"/>
    <w:rsid w:val="742D6887"/>
    <w:rsid w:val="CB5FF84E"/>
    <w:rsid w:val="EBBB6C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widowControl/>
      <w:spacing w:before="240" w:after="60" w:line="357" w:lineRule="atLeast"/>
      <w:jc w:val="center"/>
      <w:textAlignment w:val="baseline"/>
      <w:outlineLvl w:val="0"/>
    </w:pPr>
    <w:rPr>
      <w:rFonts w:ascii="Cambria" w:hAnsi="Cambria"/>
      <w:b/>
      <w:bCs/>
      <w:color w:val="000000"/>
      <w:kern w:val="0"/>
      <w:sz w:val="32"/>
      <w:szCs w:val="32"/>
      <w:u w:color="000000"/>
    </w:rPr>
  </w:style>
  <w:style w:type="character" w:customStyle="1" w:styleId="5">
    <w:name w:val="标题 Char"/>
    <w:basedOn w:val="4"/>
    <w:link w:val="2"/>
    <w:qFormat/>
    <w:uiPriority w:val="0"/>
    <w:rPr>
      <w:rFonts w:ascii="Cambria" w:hAnsi="Cambria"/>
      <w:b/>
      <w:bCs/>
      <w:color w:val="000000"/>
      <w:sz w:val="32"/>
      <w:szCs w:val="3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237</Characters>
  <Lines>1</Lines>
  <Paragraphs>1</Paragraphs>
  <TotalTime>1</TotalTime>
  <ScaleCrop>false</ScaleCrop>
  <LinksUpToDate>false</LinksUpToDate>
  <CharactersWithSpaces>240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2022-06-11T00:50:00Z</dcterms:created>
  <dc:creator>郎溪中学</dc:creator>
  <cp:lastModifiedBy>闲乘月</cp:lastModifiedBy>
  <cp:lastPrinted>2022-06-14T08:30:00Z</cp:lastPrinted>
  <dcterms:modified xsi:type="dcterms:W3CDTF">2022-06-15T00:30:43Z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CED2E80E6F7B4CD1828A6AE9488AA563</vt:lpwstr>
  </property>
</Properties>
</file>