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tbl>
      <w:tblPr>
        <w:tblStyle w:val="7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</w:p>
    <w:p>
      <w:pPr>
        <w:spacing w:line="300" w:lineRule="exact"/>
        <w:ind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300" w:lineRule="exact"/>
        <w:ind w:firstLine="240" w:firstLineChars="100"/>
      </w:pPr>
      <w:r>
        <w:rPr>
          <w:rFonts w:hint="eastAsia" w:ascii="仿宋_GB2312" w:hAnsi="宋体" w:eastAsia="仿宋_GB2312"/>
          <w:sz w:val="24"/>
        </w:rPr>
        <w:t>2.同专业的招聘岗位，应聘者如服从调配，医院可根据实际情况对应聘者的录用岗位进行调配。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2022-04-21T09:12:01Z</dcterms:created>
  <dc:creator>Administrator</dc:creator>
  <cp:lastModifiedBy>严兴发</cp:lastModifiedBy>
  <dcterms:modified xsi:type="dcterms:W3CDTF">2022-04-21T09:12:16Z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B3EECC19588E436AB8AAA8358314DAE0</vt:lpwstr>
  </property>
</Properties>
</file>