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0" w:firstLineChars="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考生须按照本公告公布的面试时间与考场安排，在面试当天8:15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前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凭本人笔试准考证、二代居民身份证、粤康码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二、考生应保持良好的卫生习惯，做好卫生防护措施，面试期间自备一次性医用口罩或以上级别口罩，除身份确认、面试答题环节需摘除口罩以外，全程佩戴口罩。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三、面试当天上午8:15前没有进入候考室的考生，按自动放弃面试资格处理；对证件携带不齐的，取消面试资格。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kern w:val="0"/>
          <w:sz w:val="32"/>
          <w:szCs w:val="32"/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D1C3F"/>
    <w:rsid w:val="2ABF3E27"/>
    <w:rsid w:val="56C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2021-12-14T09:51:00Z</dcterms:created>
  <dc:creator>南</dc:creator>
  <cp:lastModifiedBy>今晚有宵夜请叫我</cp:lastModifiedBy>
  <dcterms:modified xsi:type="dcterms:W3CDTF">2022-03-26T14:12:05Z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E559896163E44860A2970206CFFDE9CC</vt:lpwstr>
  </property>
</Properties>
</file>