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附件1</w:t>
      </w:r>
    </w:p>
    <w:p>
      <w:pPr>
        <w:spacing w:line="460" w:lineRule="exact"/>
        <w:rPr>
          <w:rFonts w:ascii="仿宋_GB2312" w:hAnsi="仿宋" w:eastAsia="仿宋_GB2312" w:cs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ascii="仿宋_GB2312" w:hAnsi="仿宋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</w:rPr>
        <w:t>惠州市第一人民医院见习人员公开招聘职位表</w:t>
      </w:r>
    </w:p>
    <w:p>
      <w:pPr>
        <w:spacing w:line="460" w:lineRule="exact"/>
        <w:jc w:val="center"/>
        <w:rPr>
          <w:rFonts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（惠市一医公招〔202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〕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号）</w:t>
      </w:r>
    </w:p>
    <w:p>
      <w:pPr>
        <w:spacing w:line="460" w:lineRule="exact"/>
        <w:jc w:val="center"/>
        <w:rPr>
          <w:rFonts w:ascii="仿宋_GB2312" w:hAnsi="仿宋" w:eastAsia="仿宋_GB2312"/>
          <w:b/>
          <w:bCs/>
          <w:color w:val="auto"/>
          <w:sz w:val="28"/>
          <w:szCs w:val="28"/>
        </w:rPr>
      </w:pPr>
    </w:p>
    <w:tbl>
      <w:tblPr>
        <w:tblStyle w:val="3"/>
        <w:tblW w:w="10429" w:type="dxa"/>
        <w:jc w:val="center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80"/>
        <w:gridCol w:w="1235"/>
        <w:gridCol w:w="1134"/>
        <w:gridCol w:w="745"/>
        <w:gridCol w:w="956"/>
        <w:gridCol w:w="992"/>
        <w:gridCol w:w="1701"/>
        <w:gridCol w:w="2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科室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其他要求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专业（方向）</w:t>
            </w:r>
          </w:p>
        </w:tc>
        <w:tc>
          <w:tcPr>
            <w:tcW w:w="21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JB011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医学检验科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见习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医学检验、免疫学、病原生物学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1.招聘对象为2022年应届毕业生（含择业期或暂缓就业人员）；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2.报名时需提供就业协议书（推荐表）；入职时需提供报到证。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JB016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病案统计室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见习编码员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临床医学、预防医学、流行病与卫生统计学、</w:t>
            </w:r>
          </w:p>
        </w:tc>
        <w:tc>
          <w:tcPr>
            <w:tcW w:w="2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4D64"/>
    <w:rsid w:val="62330BB4"/>
    <w:rsid w:val="6E1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2022-03-11T00:51:00Z</dcterms:created>
  <dc:creator>wonderful</dc:creator>
  <cp:lastModifiedBy>wonderful</cp:lastModifiedBy>
  <dcterms:modified xsi:type="dcterms:W3CDTF">2022-03-11T06:08:37Z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