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textAlignment w:val="baseline"/>
        <w:rPr>
          <w:rFonts w:ascii="仿宋_GB2312" w:hAnsi="仿宋_GB2312" w:eastAsia="仿宋_GB2312" w:cs="仿宋_GB2312"/>
          <w:sz w:val="18"/>
          <w:szCs w:val="18"/>
        </w:rPr>
      </w:pPr>
      <w:r>
        <w:rPr>
          <w:rFonts w:hint="eastAsia" w:ascii="宋体" w:hAnsi="宋体" w:cs="宋体"/>
          <w:b/>
          <w:bCs/>
          <w:sz w:val="44"/>
          <w:szCs w:val="44"/>
        </w:rPr>
        <w:t>阜阳市第三人民医院2022年度校园招聘计划</w:t>
      </w:r>
    </w:p>
    <w:p>
      <w:pPr>
        <w:spacing w:line="240" w:lineRule="exact"/>
        <w:jc w:val="center"/>
        <w:textAlignment w:val="baseline"/>
        <w:rPr>
          <w:rFonts w:ascii="仿宋_GB2312" w:hAnsi="仿宋_GB2312" w:eastAsia="仿宋_GB2312" w:cs="仿宋_GB2312"/>
          <w:sz w:val="30"/>
          <w:szCs w:val="30"/>
        </w:rPr>
      </w:pPr>
    </w:p>
    <w:tbl>
      <w:tblPr>
        <w:tblStyle w:val="2"/>
        <w:tblW w:w="15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2260"/>
        <w:gridCol w:w="1450"/>
        <w:gridCol w:w="1013"/>
        <w:gridCol w:w="2420"/>
        <w:gridCol w:w="518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8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3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szCs w:val="28"/>
              </w:rPr>
            </w:pPr>
            <w:r>
              <w:rPr>
                <w:rFonts w:hint="eastAsia" w:ascii="仿宋_GB2312" w:hAnsi="仿宋_GB2312" w:eastAsia="仿宋_GB2312" w:cs="仿宋_GB2312"/>
                <w:sz w:val="24"/>
                <w:szCs w:val="28"/>
              </w:rPr>
              <w:t>招聘岗位所需要资格条件</w:t>
            </w:r>
          </w:p>
        </w:tc>
        <w:tc>
          <w:tcPr>
            <w:tcW w:w="131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拟招聘人数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2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岗位</w:t>
            </w:r>
          </w:p>
        </w:tc>
        <w:tc>
          <w:tcPr>
            <w:tcW w:w="14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学历</w:t>
            </w:r>
            <w:bookmarkStart w:id="0" w:name="_GoBack"/>
            <w:bookmarkEnd w:id="0"/>
          </w:p>
        </w:tc>
        <w:tc>
          <w:tcPr>
            <w:tcW w:w="10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性别</w:t>
            </w:r>
          </w:p>
        </w:tc>
        <w:tc>
          <w:tcPr>
            <w:tcW w:w="24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专业要求</w:t>
            </w:r>
          </w:p>
        </w:tc>
        <w:tc>
          <w:tcPr>
            <w:tcW w:w="51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其他</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8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c>
          <w:tcPr>
            <w:tcW w:w="226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普通精神科</w:t>
            </w:r>
          </w:p>
          <w:p>
            <w:pPr>
              <w:spacing w:line="380" w:lineRule="exact"/>
              <w:jc w:val="center"/>
              <w:textAlignment w:val="baseline"/>
              <w:rPr>
                <w:rFonts w:ascii="仿宋_GB2312" w:hAnsi="仿宋_GB2312" w:eastAsia="仿宋_GB2312" w:cs="仿宋_GB2312"/>
                <w:sz w:val="24"/>
                <w:szCs w:val="18"/>
              </w:rPr>
            </w:pP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博士</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_</w:t>
            </w:r>
          </w:p>
        </w:tc>
        <w:tc>
          <w:tcPr>
            <w:tcW w:w="242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精神病与精神卫生学专业</w:t>
            </w: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40周岁以下（1982年1月1日以后出生）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18"/>
              </w:rPr>
            </w:pP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硕士</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18"/>
              </w:rPr>
            </w:pP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本科</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精神医学</w:t>
            </w: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color w:val="FF0000"/>
                <w:sz w:val="24"/>
                <w:szCs w:val="18"/>
              </w:rPr>
              <w:t>第一起点</w:t>
            </w:r>
            <w:r>
              <w:rPr>
                <w:rFonts w:ascii="仿宋_GB2312" w:hAnsi="仿宋_GB2312" w:eastAsia="仿宋_GB2312" w:cs="仿宋_GB2312"/>
                <w:color w:val="FF0000"/>
                <w:sz w:val="24"/>
                <w:szCs w:val="18"/>
              </w:rPr>
              <w:t>学历要求为国家统招普通</w:t>
            </w:r>
            <w:r>
              <w:rPr>
                <w:rFonts w:hint="eastAsia" w:ascii="仿宋_GB2312" w:hAnsi="仿宋_GB2312" w:eastAsia="仿宋_GB2312" w:cs="仿宋_GB2312"/>
                <w:color w:val="FF0000"/>
                <w:sz w:val="24"/>
                <w:szCs w:val="18"/>
              </w:rPr>
              <w:t>高校</w:t>
            </w:r>
            <w:r>
              <w:rPr>
                <w:rFonts w:ascii="仿宋_GB2312" w:hAnsi="仿宋_GB2312" w:eastAsia="仿宋_GB2312" w:cs="仿宋_GB2312"/>
                <w:color w:val="FF0000"/>
                <w:sz w:val="24"/>
                <w:szCs w:val="18"/>
              </w:rPr>
              <w:t>本科</w:t>
            </w:r>
            <w:r>
              <w:rPr>
                <w:rFonts w:hint="eastAsia" w:ascii="仿宋_GB2312" w:hAnsi="仿宋_GB2312" w:eastAsia="仿宋_GB2312" w:cs="仿宋_GB2312"/>
                <w:color w:val="FF0000"/>
                <w:sz w:val="24"/>
                <w:szCs w:val="18"/>
              </w:rPr>
              <w:t>应届毕业生，年级综合排名在前三分之一（“双一流”院校年级排名可不做要求）已取得国家住院医师规范化培训合格证书的本科毕业生，可不受毕业年限限制。</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2</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睡眠医学科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硕士</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精神卫生、心内科、呼吸科等临床专业</w:t>
            </w:r>
          </w:p>
          <w:p>
            <w:pPr>
              <w:spacing w:line="380" w:lineRule="exact"/>
              <w:jc w:val="center"/>
              <w:textAlignment w:val="baseline"/>
              <w:rPr>
                <w:rFonts w:ascii="仿宋_GB2312" w:hAnsi="仿宋_GB2312" w:eastAsia="仿宋_GB2312" w:cs="仿宋_GB2312"/>
                <w:sz w:val="24"/>
                <w:szCs w:val="18"/>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心身医学科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硕士</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精神卫生、心内科、呼吸科等临床专业</w:t>
            </w:r>
          </w:p>
          <w:p>
            <w:pPr>
              <w:spacing w:line="380" w:lineRule="exact"/>
              <w:jc w:val="center"/>
              <w:textAlignment w:val="baseline"/>
              <w:rPr>
                <w:rFonts w:ascii="仿宋_GB2312" w:hAnsi="仿宋_GB2312" w:eastAsia="仿宋_GB2312" w:cs="仿宋_GB2312"/>
                <w:sz w:val="24"/>
                <w:szCs w:val="18"/>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4</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物质依赖科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硕士</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精神卫生、心内科、呼吸科等临床专业</w:t>
            </w:r>
          </w:p>
          <w:p>
            <w:pPr>
              <w:spacing w:line="380" w:lineRule="exact"/>
              <w:jc w:val="center"/>
              <w:textAlignment w:val="baseline"/>
              <w:rPr>
                <w:rFonts w:ascii="仿宋_GB2312" w:hAnsi="仿宋_GB2312" w:eastAsia="仿宋_GB2312" w:cs="仿宋_GB2312"/>
                <w:sz w:val="24"/>
                <w:szCs w:val="18"/>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5</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老年医学科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硕士</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before="100" w:beforeAutospacing="1"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szCs w:val="18"/>
              </w:rPr>
              <w:t>精神卫生、心内科、呼吸科等临床专业</w:t>
            </w:r>
          </w:p>
          <w:p>
            <w:pPr>
              <w:spacing w:line="380" w:lineRule="exact"/>
              <w:jc w:val="center"/>
              <w:textAlignment w:val="baseline"/>
              <w:rPr>
                <w:rFonts w:ascii="仿宋_GB2312" w:hAnsi="仿宋_GB2312" w:eastAsia="仿宋_GB2312" w:cs="仿宋_GB2312"/>
                <w:sz w:val="24"/>
                <w:szCs w:val="18"/>
              </w:rPr>
            </w:pPr>
          </w:p>
        </w:tc>
        <w:tc>
          <w:tcPr>
            <w:tcW w:w="5181" w:type="dxa"/>
            <w:tcBorders>
              <w:top w:val="single" w:color="auto" w:sz="4" w:space="0"/>
              <w:left w:val="single" w:color="auto" w:sz="4" w:space="0"/>
              <w:bottom w:val="single" w:color="auto" w:sz="4" w:space="0"/>
              <w:right w:val="single" w:color="auto" w:sz="4" w:space="0"/>
            </w:tcBorders>
            <w:vAlign w:val="center"/>
          </w:tcPr>
          <w:p>
            <w:pPr>
              <w:spacing w:line="38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6</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重症综合科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本科</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before="100" w:beforeAutospacing="1"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临床医学</w:t>
            </w:r>
          </w:p>
        </w:tc>
        <w:tc>
          <w:tcPr>
            <w:tcW w:w="5181" w:type="dxa"/>
            <w:tcBorders>
              <w:top w:val="single" w:color="auto" w:sz="4" w:space="0"/>
              <w:left w:val="single" w:color="auto" w:sz="4" w:space="0"/>
              <w:bottom w:val="single" w:color="auto" w:sz="4" w:space="0"/>
              <w:right w:val="single" w:color="auto" w:sz="4" w:space="0"/>
            </w:tcBorders>
            <w:vAlign w:val="center"/>
          </w:tcPr>
          <w:p>
            <w:pPr>
              <w:spacing w:line="22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第一起点</w:t>
            </w:r>
            <w:r>
              <w:rPr>
                <w:rFonts w:ascii="仿宋_GB2312" w:hAnsi="仿宋_GB2312" w:eastAsia="仿宋_GB2312" w:cs="仿宋_GB2312"/>
                <w:sz w:val="24"/>
                <w:szCs w:val="18"/>
              </w:rPr>
              <w:t>学历要求为国家统招普通</w:t>
            </w:r>
            <w:r>
              <w:rPr>
                <w:rFonts w:hint="eastAsia" w:ascii="仿宋_GB2312" w:hAnsi="仿宋_GB2312" w:eastAsia="仿宋_GB2312" w:cs="仿宋_GB2312"/>
                <w:sz w:val="24"/>
                <w:szCs w:val="18"/>
              </w:rPr>
              <w:t>高校</w:t>
            </w:r>
            <w:r>
              <w:rPr>
                <w:rFonts w:ascii="仿宋_GB2312" w:hAnsi="仿宋_GB2312" w:eastAsia="仿宋_GB2312" w:cs="仿宋_GB2312"/>
                <w:sz w:val="24"/>
                <w:szCs w:val="18"/>
              </w:rPr>
              <w:t>本科</w:t>
            </w:r>
            <w:r>
              <w:rPr>
                <w:rFonts w:hint="eastAsia" w:ascii="仿宋_GB2312" w:hAnsi="仿宋_GB2312" w:eastAsia="仿宋_GB2312" w:cs="仿宋_GB2312"/>
                <w:sz w:val="24"/>
                <w:szCs w:val="18"/>
              </w:rPr>
              <w:t>应届毕业生，年级综合排名在前三分之一（“双一流”院校年级排名可不做要求）已取得国家住院医师规范化培训合格证书的本科毕业生，可不受毕业年限限制。</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7</w:t>
            </w:r>
          </w:p>
        </w:tc>
        <w:tc>
          <w:tcPr>
            <w:tcW w:w="226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神经内科</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本科及以上</w:t>
            </w:r>
          </w:p>
        </w:tc>
        <w:tc>
          <w:tcPr>
            <w:tcW w:w="1013" w:type="dxa"/>
            <w:tcBorders>
              <w:top w:val="single" w:color="auto" w:sz="4" w:space="0"/>
              <w:left w:val="single" w:color="auto" w:sz="4" w:space="0"/>
              <w:bottom w:val="single" w:color="auto" w:sz="4" w:space="0"/>
              <w:right w:val="single" w:color="auto" w:sz="4" w:space="0"/>
            </w:tcBorders>
            <w:vAlign w:val="center"/>
          </w:tcPr>
          <w:p>
            <w:pPr>
              <w:spacing w:before="319" w:after="159"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临床医学</w:t>
            </w:r>
          </w:p>
        </w:tc>
        <w:tc>
          <w:tcPr>
            <w:tcW w:w="5181" w:type="dxa"/>
            <w:tcBorders>
              <w:top w:val="single" w:color="auto" w:sz="4" w:space="0"/>
              <w:left w:val="single" w:color="auto" w:sz="4" w:space="0"/>
              <w:bottom w:val="single" w:color="auto" w:sz="4" w:space="0"/>
              <w:right w:val="single" w:color="auto" w:sz="4" w:space="0"/>
            </w:tcBorders>
            <w:vAlign w:val="center"/>
          </w:tcPr>
          <w:p>
            <w:pPr>
              <w:spacing w:line="220" w:lineRule="exact"/>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35周岁以下（1987年1月1日以后出生）；第一起点</w:t>
            </w:r>
            <w:r>
              <w:rPr>
                <w:rFonts w:ascii="仿宋_GB2312" w:hAnsi="仿宋_GB2312" w:eastAsia="仿宋_GB2312" w:cs="仿宋_GB2312"/>
                <w:sz w:val="24"/>
                <w:szCs w:val="18"/>
              </w:rPr>
              <w:t>学历要求为国家统招普通</w:t>
            </w:r>
            <w:r>
              <w:rPr>
                <w:rFonts w:hint="eastAsia" w:ascii="仿宋_GB2312" w:hAnsi="仿宋_GB2312" w:eastAsia="仿宋_GB2312" w:cs="仿宋_GB2312"/>
                <w:sz w:val="24"/>
                <w:szCs w:val="18"/>
              </w:rPr>
              <w:t>高校</w:t>
            </w:r>
            <w:r>
              <w:rPr>
                <w:rFonts w:ascii="仿宋_GB2312" w:hAnsi="仿宋_GB2312" w:eastAsia="仿宋_GB2312" w:cs="仿宋_GB2312"/>
                <w:sz w:val="24"/>
                <w:szCs w:val="18"/>
              </w:rPr>
              <w:t>本科</w:t>
            </w:r>
            <w:r>
              <w:rPr>
                <w:rFonts w:hint="eastAsia" w:ascii="仿宋_GB2312" w:hAnsi="仿宋_GB2312" w:eastAsia="仿宋_GB2312" w:cs="仿宋_GB2312"/>
                <w:sz w:val="24"/>
                <w:szCs w:val="18"/>
              </w:rPr>
              <w:t>应届毕业生，年级综合排名在前三分之一（“双一流”院校年级排名可不做要求）。全日制研究生和已取得国家住院医师规范化培训合格证书的本科毕业生，可不受毕业年限限制。</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szCs w:val="18"/>
              </w:rPr>
            </w:pPr>
            <w:r>
              <w:rPr>
                <w:rFonts w:hint="eastAsia" w:ascii="仿宋_GB2312" w:hAnsi="仿宋_GB2312" w:eastAsia="仿宋_GB2312" w:cs="仿宋_GB2312"/>
                <w:sz w:val="24"/>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6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合计</w:t>
            </w:r>
          </w:p>
        </w:tc>
        <w:tc>
          <w:tcPr>
            <w:tcW w:w="13637"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 xml:space="preserve"> 15人</w:t>
            </w:r>
          </w:p>
        </w:tc>
      </w:tr>
    </w:tbl>
    <w:p>
      <w:pPr>
        <w:spacing w:line="200" w:lineRule="exact"/>
        <w:textAlignment w:val="baseline"/>
        <w:rPr>
          <w:sz w:val="20"/>
        </w:rPr>
      </w:pPr>
    </w:p>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0E"/>
    <w:rsid w:val="00077C5A"/>
    <w:rsid w:val="001305D6"/>
    <w:rsid w:val="002E420E"/>
    <w:rsid w:val="003364CF"/>
    <w:rsid w:val="0061149C"/>
    <w:rsid w:val="0065346C"/>
    <w:rsid w:val="006B650B"/>
    <w:rsid w:val="008B11A3"/>
    <w:rsid w:val="00AA7779"/>
    <w:rsid w:val="00B05C8C"/>
    <w:rsid w:val="00D932D1"/>
    <w:rsid w:val="00DD29FF"/>
    <w:rsid w:val="00ED2AC8"/>
    <w:rsid w:val="1AC35E46"/>
    <w:rsid w:val="254E78CF"/>
    <w:rsid w:val="2ECF34DE"/>
    <w:rsid w:val="32012645"/>
    <w:rsid w:val="51FD0495"/>
    <w:rsid w:val="7025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642</Characters>
  <Lines>5</Lines>
  <Paragraphs>1</Paragraphs>
  <TotalTime>28</TotalTime>
  <ScaleCrop>false</ScaleCrop>
  <LinksUpToDate>false</LinksUpToDate>
  <CharactersWithSpaces>753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2020-12-14T02:52:00Z</dcterms:created>
  <dc:creator>Administrator</dc:creator>
  <cp:lastModifiedBy>于烁宸</cp:lastModifiedBy>
  <dcterms:modified xsi:type="dcterms:W3CDTF">2022-02-10T09:32:12Z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FDFA0534757B4CB9929550B63DFC825A</vt:lpwstr>
  </property>
</Properties>
</file>