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instrText xml:space="preserve"> HYPERLINK "http://wsjkw.weifang.gov.cn/XXGK/RSXX/201904/P020190409577791186600.doc" </w:instrTex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021年潍坊市第二人民医院公开招聘工作人员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1.是否为新冠肺炎疑似、密切接触者？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2.是否治愈未超过14天的新冠肺炎治愈者？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4.考前28天内，是否从境外或疫情高风险等级地区回潍？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5.考前28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天内，是否从疫情中风险等级地区回潍？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6.考前21天内，所在社区（村、居委会）是否发生疫情？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2021年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注：“健康申明”中1-6项有为“是”的，需提供核酸检测结果及健康绿码，疫情防控以山东省最新要求为准。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728665D"/>
    <w:rsid w:val="10E91980"/>
    <w:rsid w:val="23335B4F"/>
    <w:rsid w:val="28282D00"/>
    <w:rsid w:val="2CE23BD9"/>
    <w:rsid w:val="2E4807CC"/>
    <w:rsid w:val="375609C0"/>
    <w:rsid w:val="3ED02A9C"/>
    <w:rsid w:val="3FB84697"/>
    <w:rsid w:val="414B102E"/>
    <w:rsid w:val="551E0466"/>
    <w:rsid w:val="5D0134B4"/>
    <w:rsid w:val="651C45DF"/>
    <w:rsid w:val="682739FA"/>
    <w:rsid w:val="6E041E72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清风习习</cp:lastModifiedBy>
  <dcterms:modified xsi:type="dcterms:W3CDTF">2021-11-16T00:24:15Z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3845CA9911FE4D17A586F05C6DBCE54D</vt:lpwstr>
  </property>
</Properties>
</file>