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pStyle w:val="4"/>
        <w:spacing w:before="0" w:beforeAutospacing="0" w:after="0" w:afterAutospacing="0" w:line="640" w:lineRule="exact"/>
        <w:jc w:val="center"/>
        <w:textAlignment w:val="baseline"/>
        <w:rPr>
          <w:rFonts w:ascii="新宋体" w:eastAsia="新宋体" w:cs="新宋体"/>
          <w:color w:val="000000"/>
          <w:sz w:val="44"/>
          <w:szCs w:val="44"/>
        </w:rPr>
      </w:pPr>
    </w:p>
    <w:p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>
      <w:pPr>
        <w:ind w:firstLineChars="400" w:firstLine="1280"/>
        <w:jc w:val="center"/>
        <w:rPr>
          <w:rFonts w:ascii="宋体" w:cs="宋体"/>
          <w:b/>
          <w:bCs/>
          <w:sz w:val="32"/>
          <w:szCs w:val="32"/>
        </w:rPr>
      </w:pPr>
      <w:r>
        <w:rPr>
          <w:rStyle w:val="18"/>
          <w:rFonts w:ascii="宋体" w:cs="宋体" w:hint="eastAsia"/>
          <w:color w:val="000000"/>
          <w:sz w:val="32"/>
          <w:szCs w:val="32"/>
        </w:rPr>
        <w:t>黑龙江省医院2021年公开招聘</w:t>
      </w:r>
      <w:r>
        <w:rPr>
          <w:rFonts w:ascii="宋体" w:cs="宋体" w:hint="eastAsia"/>
          <w:b/>
          <w:bCs/>
          <w:sz w:val="32"/>
          <w:szCs w:val="32"/>
        </w:rPr>
        <w:t>面试人员名单</w:t>
      </w:r>
    </w:p>
    <w:p>
      <w:pPr>
        <w:widowControl/>
        <w:jc w:val="left"/>
      </w:pPr>
    </w:p>
    <w:tbl>
      <w:tblPr>
        <w:jc w:val="left"/>
        <w:tblInd w:w="93" w:type="dxa"/>
        <w:tblW w:w="13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4120"/>
        <w:gridCol w:w="760"/>
        <w:gridCol w:w="680"/>
        <w:gridCol w:w="1080"/>
        <w:gridCol w:w="1500"/>
        <w:gridCol w:w="992"/>
        <w:gridCol w:w="988"/>
        <w:gridCol w:w="1280"/>
      </w:tblGrid>
      <w:tr>
        <w:trPr>
          <w:trHeight w:val="600"/>
          <w:tblHeader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bookmarkStart w:id="1" w:name="RANGE!B1:L217"/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招聘岗位</w:t>
            </w:r>
            <w:bookmarkEnd w:id="1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笔试</w:t>
              <w:br/>
              <w:t>成绩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加分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笔试</w:t>
              <w:br/>
              <w:t>总成绩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口腔医学科医生B岗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何琳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口腔医学科医生B岗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姜可新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口腔医学科科技创新平台科研人员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口腔医学科科技创新平台科研人员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心血管内二科医生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心血管内二科医生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何宝强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心血管内三科医生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张明亮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心血管内三科医生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46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心血管内四科医生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宋乾坤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65.25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65.25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心血管内四科医生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常庆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老年心血管内科医生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刘东坤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老年心血管内科医生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郭钰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老年心血管内科医生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王美娜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老年心血管内科介入医生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田枭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老年心血管内科介入医生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徐学明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老年心血管内科介入医生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礼兆悦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南岗院区心血管内二科医生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黄咏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孙浩博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周航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25.75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25.75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20.5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20.5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佟印妮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王长钰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王晓鹤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卢静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孙铭悦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郑永佳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毕中秋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葛佳琪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消化病院医生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宋蕾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老年呼吸内科医生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徐丹丹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南岗院区神经内一科医生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曲艺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南岗院区神经内一科医生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65.25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65.25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南岗院区神经内一科医生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南岗院区神经内一科医生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何治君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南岗院区神经内一科医生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韩飓倩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南岗院区神经内一科医生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杨光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王文博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南岗院区神经内二科医生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郑炎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柳羲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夏松松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牟龙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29.5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29.5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暴洪博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19.5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19.5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顾益飞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普外五科医生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普外五科医生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普外五科医生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辛梦阳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南岗院区骨外科医生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王继隆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泌尿外二科医生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牛吉瑞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南岗院区泌尿外科医生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亓立成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71.75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南岗院区泌尿外科医生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肖健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南岗院区泌尿外科医生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韩博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南岗院区重症医学科医生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赵东亮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南岗院区重症医学科医生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郭强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南岗院区重症医学科医生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南岗院区重症医学科医生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宿迪涵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赵姗姗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孙庆佳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沈博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赵晓红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51.25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51.25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董丽丽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41.5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41.5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眼科医生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张傲琦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眼科医生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王熙熙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尹菲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65.25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65.25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李燕娜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周海羚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孙程杰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急诊科内科医生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尹中嘉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孙文成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卢昊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高帅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急诊科外科医生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齐家鹏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精神门诊医生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曹志宇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精神门诊医生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精神门诊医生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邹杰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精神门诊医生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刘新苗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医学影像部放射线医生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吕亚会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80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医学影像部放射线医生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张得新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物理诊断科医生A岗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李海莹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92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物理诊断科医生A岗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90.5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90.5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物理诊断科医生A岗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梁锡天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物理诊断科医生B岗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姜鹤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物理诊断科心电室医生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吴雨珊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物理诊断科心电室医生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刘争奇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物理诊断科心电室医生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病理科技师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季博书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病理科技师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张春竹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病理科技师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刘海芳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41.25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41.25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放射治疗科技师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李曦兰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放射治疗科技师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李洪岩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47.75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放射治疗科技师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付琪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45.75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45.75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放射治疗科技师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郭婷婷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40.5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40.5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放射治疗科技师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魏啸宇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39.25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39.25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放射治疗科技师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高恩鹏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32.25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32.25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李盼阳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72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李雨秋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陈金钰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王月明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马健钧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张治中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付明浩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贾茹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李佳欣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信息中心技术员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科教部专职教师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田锐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科教部专职教师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科教部专职教师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刘启航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科教部专职教师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王思琦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刘博言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李佳欣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科教部科员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葛琦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感染监控科感控专职人员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耿永铎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感染监控科感控专职人员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刘浩男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49.5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感染监控科感控专职人员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210100358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46.25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46.25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孙晓苏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关艳娇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周婷婷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王雨秋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52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沙玲玲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张嘉艺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李恒威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周晓爽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陈伟健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姜云卿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毕珂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杨浩宇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李长玉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孟德会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病案室科员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高小川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总务科科员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李沛然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免考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总务科科员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金忠宇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总务科科员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李东钢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总务科科员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杨海龙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宣传统战部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韩博洋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宣传统战部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张百郡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宣传统战部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陈蕊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210200332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赵丹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倪娇男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张竞文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66.5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刘丰语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万杨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孙嘉欣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赵亚文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63.5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高兆虹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邢丽妍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62.25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姜彦影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蔡依涵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61.5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韩冬媛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李宏浩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郭馨元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蔡思源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60.25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杜国岩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姚爽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郭秋爽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59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李孟娇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隗汶轩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王晓矞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马春雪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58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吕清湘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李乐聪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丁雨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董博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邹文岩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李宇琦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贲瑞宁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57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续春英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张欣欣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56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郑冬月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杨明鑫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袁美琪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韩硕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55.25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宋旖双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曹春也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孙颖出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程婉婷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王鹤潼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金祎潼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刘佳男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董林圯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黄靖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54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朱来帅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张洪齐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陈灼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53.75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徐文英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肖彤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单屹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53.25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张博宇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孙明俐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徐蕊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袭雪晴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  <w:tr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黑龙江省医院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刘艳春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210300551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>
            <w:pPr>
              <w:widowControl/>
              <w:tabs>
                <w:tab w:val="left" w:pos="4606"/>
              </w:tabs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53</w:t>
            </w:r>
          </w:p>
        </w:tc>
      </w:tr>
    </w:tbl>
    <w:p>
      <w:pPr>
        <w:tabs>
          <w:tab w:val="left" w:pos="4606"/>
        </w:tabs>
      </w:pPr>
    </w:p>
    <w:p/>
    <w:p/>
    <w:p/>
    <w:p/>
    <w:p/>
    <w:p/>
    <w:p/>
    <w:p/>
    <w:p/>
    <w:sectPr>
      <w:pgSz w:w="16838" w:h="11906" w:orient="landscape"/>
      <w:pgMar w:top="1797" w:right="1440" w:bottom="1797" w:left="1440" w:header="851" w:footer="992" w:gutter="0"/>
      <w:pgNumType w:fmt="numberInDash" w:start="1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新宋体">
    <w:panose1 w:val="02010609030101010101"/>
    <w:charset w:val="86"/>
    <w:family w:val="modern"/>
    <w:pitch w:val="variable"/>
    <w:sig w:usb0="00000003" w:usb1="288F0000" w:usb2="0000000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0"/>
    <w:next w:val="0"/>
    <w:pPr>
      <w:widowControl/>
      <w:spacing w:before="100" w:beforeAutospacing="1" w:after="100" w:afterAutospacing="1"/>
      <w:jc w:val="left"/>
      <w:outlineLvl w:val="3"/>
    </w:pPr>
    <w:rPr>
      <w:rFonts w:ascii="宋体" w:cs="宋体"/>
      <w:b/>
      <w:bCs/>
      <w:kern w:val="0"/>
      <w:sz w:val="24"/>
      <w:szCs w:val="24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8">
    <w:name w:val="Strong"/>
    <w:rPr>
      <w:b/>
      <w:bCs/>
    </w:rPr>
  </w:style>
  <w:style w:type="character" w:styleId="19">
    <w:name w:val="FollowedHyperlink"/>
    <w:basedOn w:val="10"/>
    <w:rPr>
      <w:color w:val="954F72"/>
      <w:u w:val="single"/>
    </w:rPr>
  </w:style>
  <w:style w:type="character" w:styleId="20">
    <w:name w:val="Hyperlink"/>
    <w:basedOn w:val="10"/>
    <w:rPr>
      <w:color w:val="0563C1"/>
      <w:u w:val="single"/>
    </w:rPr>
  </w:style>
  <w:style w:type="paragraph" w:customStyle="1" w:styleId="21">
    <w:name w:val="列出段落1"/>
    <w:basedOn w:val="0"/>
    <w:pPr>
      <w:ind w:firstLineChars="200" w:firstLine="200"/>
    </w:pPr>
    <w:rPr>
      <w:rFonts w:cs="Calibri"/>
      <w:szCs w:val="21"/>
    </w:rPr>
  </w:style>
  <w:style w:type="paragraph" w:customStyle="1" w:styleId="22">
    <w:name w:val="font5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3">
    <w:name w:val="xl64"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cs="宋体"/>
      <w:b/>
      <w:bCs/>
      <w:kern w:val="0"/>
      <w:sz w:val="24"/>
      <w:szCs w:val="24"/>
    </w:rPr>
  </w:style>
  <w:style w:type="paragraph" w:customStyle="1" w:styleId="24">
    <w:name w:val="xl65"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cs="宋体"/>
      <w:b/>
      <w:bCs/>
      <w:kern w:val="0"/>
      <w:sz w:val="24"/>
      <w:szCs w:val="24"/>
    </w:rPr>
  </w:style>
  <w:style w:type="paragraph" w:customStyle="1" w:styleId="25">
    <w:name w:val="xl66"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6">
    <w:name w:val="xl67"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0"/>
      <w:szCs w:val="20"/>
    </w:rPr>
  </w:style>
  <w:style w:type="paragraph" w:customStyle="1" w:styleId="27">
    <w:name w:val="xl68"/>
    <w:basedOn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8">
    <w:name w:val="xl69"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9">
    <w:name w:val="xl70"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0"/>
      <w:szCs w:val="20"/>
    </w:rPr>
  </w:style>
  <w:style w:type="paragraph" w:customStyle="1" w:styleId="30">
    <w:name w:val="xl71"/>
    <w:basedOn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45</TotalTime>
  <Application>Yozo_Office27021597764231179</Application>
  <Pages>11</Pages>
  <Words>4377</Words>
  <Characters>7729</Characters>
  <Lines>1969</Lines>
  <Paragraphs>1742</Paragraphs>
  <CharactersWithSpaces>7944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xb21cn</dc:creator>
  <cp:lastModifiedBy>wjw</cp:lastModifiedBy>
  <cp:revision>10</cp:revision>
  <dcterms:created xsi:type="dcterms:W3CDTF">2021-10-12T06:41:00Z</dcterms:created>
  <dcterms:modified xsi:type="dcterms:W3CDTF">2021-10-18T01:34:21Z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2052-11.8.2.8411</vt:lpwstr>
  </property>
</Properties>
</file>