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附件1</w:t>
      </w:r>
    </w:p>
    <w:p>
      <w:pPr>
        <w:widowControl/>
        <w:ind w:right="-110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</w:p>
    <w:p>
      <w:pPr>
        <w:widowControl/>
        <w:ind w:right="-110"/>
        <w:jc w:val="center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重庆市武隆区人民医院编制外</w:t>
      </w:r>
      <w:r>
        <w:rPr>
          <w:rFonts w:hint="eastAsia" w:eastAsia="方正小标宋_GBK" w:cs="方正小标宋_GBK"/>
          <w:color w:val="auto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人员</w:t>
      </w:r>
      <w:r>
        <w:rPr>
          <w:rFonts w:hint="eastAsia" w:eastAsia="方正小标宋_GBK" w:cs="方正小标宋_GBK"/>
          <w:color w:val="auto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护理</w:t>
      </w:r>
      <w:r>
        <w:rPr>
          <w:rFonts w:hint="eastAsia" w:eastAsia="方正小标宋_GBK" w:cs="方正小标宋_GBK"/>
          <w:color w:val="auto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岗位一览表</w:t>
      </w:r>
    </w:p>
    <w:tbl>
      <w:tblPr>
        <w:tblStyle w:val="5"/>
        <w:tblpPr w:leftFromText="180" w:rightFromText="180" w:vertAnchor="text" w:horzAnchor="page" w:tblpX="1926" w:tblpY="115"/>
        <w:tblOverlap w:val="never"/>
        <w:tblW w:w="13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43"/>
        <w:gridCol w:w="1227"/>
        <w:gridCol w:w="1189"/>
        <w:gridCol w:w="791"/>
        <w:gridCol w:w="1821"/>
        <w:gridCol w:w="1737"/>
        <w:gridCol w:w="321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321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/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临床护理岗位1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ind w:right="-110"/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eastAsia="zh-CN"/>
              </w:rPr>
              <w:t>全日制本科及以上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护理学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男女不限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right="-110"/>
              <w:jc w:val="center"/>
              <w:rPr>
                <w:rFonts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30周岁以下；取得中级职称的可以放宽至35周岁以下。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ind w:right="-110"/>
              <w:jc w:val="center"/>
              <w:rPr>
                <w:rFonts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男性165CM以上；女性155CM以上。</w:t>
            </w:r>
          </w:p>
        </w:tc>
        <w:tc>
          <w:tcPr>
            <w:tcW w:w="3217" w:type="dxa"/>
            <w:vAlign w:val="center"/>
          </w:tcPr>
          <w:p>
            <w:pPr>
              <w:widowControl/>
              <w:ind w:right="-110"/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临床护理岗</w:t>
            </w: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护理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(助产）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学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男女不限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30周岁以下；取得中级职称的可以放宽至35周岁以下。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男性165CM以上；女性155CM以上。</w:t>
            </w:r>
          </w:p>
        </w:tc>
        <w:tc>
          <w:tcPr>
            <w:tcW w:w="3217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7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5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临床护理岗</w:t>
            </w:r>
            <w:r>
              <w:rPr>
                <w:rFonts w:hint="eastAsia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专科及以上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护理（助产）学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男女不限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30周岁以下。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</w:rPr>
              <w:t>男性165CM以上；女性155CM以上。</w:t>
            </w:r>
          </w:p>
        </w:tc>
        <w:tc>
          <w:tcPr>
            <w:tcW w:w="32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right="-110"/>
              <w:jc w:val="left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全日制教育必须是中专（护理或助产专业）；</w:t>
            </w:r>
          </w:p>
          <w:p>
            <w:pPr>
              <w:widowControl/>
              <w:numPr>
                <w:ilvl w:val="0"/>
                <w:numId w:val="1"/>
              </w:numPr>
              <w:ind w:right="-110" w:rightChars="0"/>
              <w:jc w:val="left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有二级甲等综合医院2年以上工作经历。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ind w:firstLine="0" w:firstLineChars="0"/>
        <w:rPr>
          <w:rFonts w:ascii="Times New Roman" w:hAnsi="Times New Roman"/>
          <w:color w:val="auto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5EDB"/>
    <w:multiLevelType w:val="singleLevel"/>
    <w:tmpl w:val="546A5E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604D6"/>
    <w:rsid w:val="3B5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2021-08-25T01:46:00Z</dcterms:created>
  <dc:creator>皓祥公司人事部</dc:creator>
  <cp:lastModifiedBy>皓祥公司人事部</cp:lastModifiedBy>
  <dcterms:modified xsi:type="dcterms:W3CDTF">2021-08-25T01:47:51Z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1030477437_btnclosed</vt:lpwstr>
  </property>
</Properties>
</file>