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552"/>
        <w:gridCol w:w="1069"/>
        <w:gridCol w:w="1638"/>
        <w:gridCol w:w="1241"/>
        <w:gridCol w:w="1569"/>
        <w:gridCol w:w="891"/>
        <w:gridCol w:w="2023"/>
        <w:gridCol w:w="14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lang w:bidi="ar"/>
              </w:rPr>
              <w:t>2021年诸暨市第二人民医院公开招聘编外工作人员计划表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户籍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岗位其他要求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诸暨市第二人民医院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社区医生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全日制大专及以上学历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临床医学、全科医学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男40周岁及以下、女35周岁及以下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具有执业助理医师及以上资格证书或无执业资格者需承诺3年内取得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    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32F9"/>
    <w:rsid w:val="4988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2021-05-10T09:02:00Z</dcterms:created>
  <dc:creator>Administrator</dc:creator>
  <cp:lastModifiedBy>Administrator</cp:lastModifiedBy>
  <dcterms:modified xsi:type="dcterms:W3CDTF">2021-05-10T09:02:41Z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