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4D3D9" w:sz="6" w:space="0"/>
          <w:left w:val="single" w:color="D4D3D9" w:sz="6" w:space="0"/>
          <w:bottom w:val="single" w:color="D4D3D9" w:sz="6" w:space="0"/>
          <w:right w:val="single" w:color="D4D3D9" w:sz="6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4D4D4D"/>
          <w:sz w:val="39"/>
          <w:szCs w:val="39"/>
        </w:rPr>
      </w:pPr>
      <w:bookmarkStart w:id="0" w:name="_GoBack"/>
      <w:r>
        <w:rPr>
          <w:rFonts w:hint="eastAsia" w:ascii="宋体" w:hAnsi="宋体" w:eastAsia="宋体" w:cs="宋体"/>
          <w:color w:val="4D4D4D"/>
          <w:kern w:val="0"/>
          <w:sz w:val="39"/>
          <w:szCs w:val="39"/>
          <w:shd w:val="clear" w:fill="FFFFFF"/>
          <w:lang w:val="en-US" w:eastAsia="zh-CN" w:bidi="ar"/>
        </w:rPr>
        <w:t>2021年浙江省长兴县中医院公开引进高层次人才公告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ascii="仿宋" w:hAnsi="仿宋" w:eastAsia="仿宋" w:cs="仿宋"/>
          <w:color w:val="000000"/>
          <w:sz w:val="30"/>
          <w:szCs w:val="30"/>
          <w:shd w:val="clear" w:fill="FFFFFF"/>
        </w:rPr>
        <w:t>为进一步加快我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eastAsia="zh-CN"/>
        </w:rPr>
        <w:t>院</w:t>
      </w:r>
      <w:r>
        <w:rPr>
          <w:rFonts w:ascii="仿宋" w:hAnsi="仿宋" w:eastAsia="仿宋" w:cs="仿宋"/>
          <w:color w:val="000000"/>
          <w:sz w:val="30"/>
          <w:szCs w:val="30"/>
          <w:shd w:val="clear" w:fill="FFFFFF"/>
        </w:rPr>
        <w:t>卫生人才队伍建设，促进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eastAsia="zh-CN"/>
        </w:rPr>
        <w:t>医院各项</w:t>
      </w:r>
      <w:r>
        <w:rPr>
          <w:rFonts w:ascii="仿宋" w:hAnsi="仿宋" w:eastAsia="仿宋" w:cs="仿宋"/>
          <w:color w:val="000000"/>
          <w:sz w:val="30"/>
          <w:szCs w:val="30"/>
          <w:shd w:val="clear" w:fill="FFFFFF"/>
        </w:rPr>
        <w:t>事业全面快速发展，2021年长兴县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eastAsia="zh-CN"/>
        </w:rPr>
        <w:t>中</w:t>
      </w:r>
      <w:r>
        <w:rPr>
          <w:rFonts w:ascii="仿宋" w:hAnsi="仿宋" w:eastAsia="仿宋" w:cs="仿宋"/>
          <w:color w:val="000000"/>
          <w:sz w:val="30"/>
          <w:szCs w:val="30"/>
          <w:shd w:val="clear" w:fill="FFFFFF"/>
        </w:rPr>
        <w:t>医院拟引进医疗卫生专业副高及以上职称高层次人才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val="en-US" w:eastAsia="zh-CN"/>
        </w:rPr>
        <w:t>6</w:t>
      </w:r>
      <w:r>
        <w:rPr>
          <w:rFonts w:ascii="仿宋" w:hAnsi="仿宋" w:eastAsia="仿宋" w:cs="仿宋"/>
          <w:color w:val="000000"/>
          <w:sz w:val="30"/>
          <w:szCs w:val="30"/>
          <w:shd w:val="clear" w:fill="FFFFFF"/>
        </w:rPr>
        <w:t>名，现将有关事项公告如下：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Style w:val="5"/>
          <w:rFonts w:ascii="黑体" w:hAnsi="宋体" w:eastAsia="黑体" w:cs="黑体"/>
          <w:sz w:val="28"/>
          <w:szCs w:val="28"/>
          <w:shd w:val="clear" w:fill="FFFFFF"/>
        </w:rPr>
        <w:t>一、引进计划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面向社会引进医疗卫生专业副高及以上职称高层次人才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名。具体岗位专业详见计划表（附件1）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Style w:val="5"/>
          <w:rFonts w:hint="eastAsia" w:ascii="黑体" w:hAnsi="宋体" w:eastAsia="黑体" w:cs="黑体"/>
          <w:sz w:val="28"/>
          <w:szCs w:val="28"/>
          <w:shd w:val="clear" w:fill="FFFFFF"/>
        </w:rPr>
        <w:t>二、引进范围、对象及条件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1.遵纪守法、品行端正、身体健康；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2.具备引进岗位所需资格条件和对应专业；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3.年龄一般在45周岁及以下（1975年5月13日后出生），特别优秀的可放宽到50周岁（1970年5月13日后出生）；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55"/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4.引进对象户籍不限。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Style w:val="5"/>
          <w:rFonts w:hint="eastAsia" w:ascii="黑体" w:hAnsi="宋体" w:eastAsia="黑体" w:cs="黑体"/>
          <w:sz w:val="28"/>
          <w:szCs w:val="28"/>
          <w:shd w:val="clear" w:fill="FFFFFF"/>
        </w:rPr>
        <w:t>三、</w:t>
      </w:r>
      <w:r>
        <w:rPr>
          <w:rStyle w:val="5"/>
          <w:rFonts w:hint="eastAsia" w:ascii="黑体" w:hAnsi="宋体" w:eastAsia="黑体" w:cs="黑体"/>
          <w:color w:val="000000"/>
          <w:sz w:val="28"/>
          <w:szCs w:val="28"/>
          <w:shd w:val="clear" w:fill="FFFFFF"/>
        </w:rPr>
        <w:t>报名方式、时间和地点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1.报名方式：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instrText xml:space="preserve"> HYPERLINK "mailto:%E6%8A%A5%E5%90%8D%E9%87%87%E7%94%A8%E7%BD%91%E4%B8%8A%E6%8A%A5%E5%90%8D%E5%92%8C%E7%8E%B0%E5%9C%BA%E6%8A%A5%E5%90%8D%E6%96%B9%E5%BC%8F%E8%BF%9B%E8%A1%8C,%E7%94%B1%E6%8B%9B%E8%81%98%E5%8D%95%E4%BD%8D%E5%8F%97%E7%90%86%E3%80%82%E9%95%BF%E5%85%B4%E5%8E%BF%E4%BA%BA%E6%B0%91%E5%8C%BB%E9%99%A26267516008@163.com%EF%BC%9B%E9%95%BF%E5%85%B4%E5%8E%BF%E4%B8%AD%E5%8C%BB%E9%99%A2cycy911@sina.com%EF%BC%9B%E9%95%BF%E5%85%B4%E5%8E%BF%E5%A6%87%E5%B9%BC%E4%BF%9D%E5%81%A5%E9%99%A2fbyrsk6039031@163.com%E3%80%82" </w:instrTex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报名采用网上报名和现场报名方式进行,由招聘单位受理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eastAsia="zh-CN"/>
        </w:rPr>
        <w:t>。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长兴县中医院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eastAsia="zh-CN"/>
        </w:rPr>
        <w:t>报名邮箱：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cycy911@sina.com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eastAsia="zh-CN"/>
        </w:rPr>
        <w:t>；现场报名地址：浙江省长兴县雉城街道长吕路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99号长兴县中医院2号楼15楼1504室</w:t>
      </w:r>
      <w:r>
        <w:rPr>
          <w:rStyle w:val="7"/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2.报名时间：2021年5月13日-5月14日，现场报名需在工作时间（上午8：30-11：30，下午14：00-16：30）。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报名人员需提交报名表（附件2）、本人身份证、专业技术资格证书、医师执业证书、学历（学位）证书等相关证件电子版或原件及复印件，每人限报一个岗位。报名后由相关部门组织资格审查，对审查合格人员发送面试通知。报考人员应对本人提交的信息和材料的真实性负责，凡提供虚假信息而通过招聘资格条件初审的，一经查实，取消考试或聘用资格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55"/>
      </w:pPr>
      <w:r>
        <w:rPr>
          <w:rStyle w:val="5"/>
          <w:rFonts w:hint="eastAsia" w:ascii="黑体" w:hAnsi="宋体" w:eastAsia="黑体" w:cs="黑体"/>
          <w:sz w:val="28"/>
          <w:szCs w:val="28"/>
          <w:shd w:val="clear" w:fill="FFFFFF"/>
        </w:rPr>
        <w:t>四、面试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考试采取面试形式。重点测试应试者的实际工作能力以及对岗位的适应程度等。面试满分为100分。面试合格分为60分，低于60分的人员不得进入体检、考察环节。面试时间、地点另行通知。考生如需了解招聘情况可与长兴县中医院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eastAsia="zh-CN"/>
        </w:rPr>
        <w:t>党建办（人事）联系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0572-6056302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eastAsia="zh-CN"/>
        </w:rPr>
        <w:t>，联系人：李主任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55"/>
      </w:pPr>
      <w:r>
        <w:rPr>
          <w:rStyle w:val="5"/>
          <w:rFonts w:hint="eastAsia" w:ascii="黑体" w:hAnsi="宋体" w:eastAsia="黑体" w:cs="黑体"/>
          <w:sz w:val="28"/>
          <w:szCs w:val="28"/>
          <w:shd w:val="clear" w:fill="FFFFFF"/>
        </w:rPr>
        <w:t>五、录用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6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根据面试成绩从高分到低分按计划数1：1的比例确定体检对象。体检、考察参照公务员录用标准执行。体检、考察均合格的人员，在长兴县人事人才网公示7天，公示无异议后确定最终引进人员。引进的人员在规定时间内办理相关手续，签订1年劳动合同，工资待遇比照事业单位在编人员发放，1年后经考核合格，聘用为事业单位人员，签订5年以上聘用合同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00"/>
        <w:rPr>
          <w:rFonts w:hint="eastAsia" w:ascii="仿宋" w:hAnsi="仿宋" w:eastAsia="仿宋" w:cs="仿宋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fill="FFFFFF"/>
        </w:rPr>
        <w:t>来长工作以后，符合条件的高层次人才可</w:t>
      </w:r>
      <w:r>
        <w:rPr>
          <w:rFonts w:hint="eastAsia" w:ascii="仿宋" w:hAnsi="仿宋" w:eastAsia="仿宋" w:cs="仿宋"/>
          <w:sz w:val="30"/>
          <w:szCs w:val="30"/>
          <w:shd w:val="clear" w:fill="FFFFFF"/>
          <w:lang w:eastAsia="zh-CN"/>
        </w:rPr>
        <w:t>同时</w:t>
      </w:r>
      <w:r>
        <w:rPr>
          <w:rFonts w:hint="eastAsia" w:ascii="仿宋" w:hAnsi="仿宋" w:eastAsia="仿宋" w:cs="仿宋"/>
          <w:sz w:val="30"/>
          <w:szCs w:val="30"/>
          <w:shd w:val="clear" w:fill="FFFFFF"/>
        </w:rPr>
        <w:t>享受长兴县</w:t>
      </w:r>
      <w:r>
        <w:rPr>
          <w:rFonts w:hint="eastAsia" w:ascii="仿宋" w:hAnsi="仿宋" w:eastAsia="仿宋" w:cs="仿宋"/>
          <w:sz w:val="30"/>
          <w:szCs w:val="30"/>
          <w:shd w:val="clear" w:fill="FFFFFF"/>
          <w:lang w:eastAsia="zh-CN"/>
        </w:rPr>
        <w:t>政府及医院</w:t>
      </w:r>
      <w:r>
        <w:rPr>
          <w:rFonts w:hint="eastAsia" w:ascii="仿宋" w:hAnsi="仿宋" w:eastAsia="仿宋" w:cs="仿宋"/>
          <w:sz w:val="30"/>
          <w:szCs w:val="30"/>
          <w:shd w:val="clear" w:fill="FFFFFF"/>
        </w:rPr>
        <w:t>相关人才引进政策。具体如下表：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left"/>
        <w:rPr>
          <w:rFonts w:hint="eastAsia" w:ascii="仿宋" w:hAnsi="仿宋" w:eastAsia="仿宋" w:cs="仿宋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 w:firstLine="1320" w:firstLineChars="3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长兴县政府高层次人才引进政策</w:t>
      </w:r>
    </w:p>
    <w:tbl>
      <w:tblPr>
        <w:tblStyle w:val="9"/>
        <w:tblW w:w="92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1562"/>
        <w:gridCol w:w="1052"/>
        <w:gridCol w:w="1052"/>
        <w:gridCol w:w="1713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70" w:hRule="atLeast"/>
          <w:tblCellSpacing w:w="0" w:type="dxa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人才类别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小计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购房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补贴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安家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补贴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租房（生活）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补贴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岗位津贴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  <w:tblCellSpacing w:w="0" w:type="dxa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正高级专技人才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111F2C"/>
                <w:sz w:val="24"/>
                <w:szCs w:val="24"/>
                <w:shd w:val="clear" w:fill="FFFFFF"/>
              </w:rPr>
              <w:t>102</w:t>
            </w: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111F2C"/>
                <w:sz w:val="24"/>
                <w:szCs w:val="24"/>
                <w:shd w:val="clear" w:fill="FFFFFF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111F2C"/>
                <w:sz w:val="24"/>
                <w:szCs w:val="24"/>
                <w:shd w:val="clear" w:fill="FFFFFF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111F2C"/>
                <w:sz w:val="24"/>
                <w:szCs w:val="24"/>
                <w:shd w:val="clear" w:fill="FFFFFF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万元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111F2C"/>
                <w:sz w:val="24"/>
                <w:szCs w:val="24"/>
                <w:shd w:val="clear" w:fill="FFFFFF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5" w:hRule="atLeast"/>
          <w:tblCellSpacing w:w="0" w:type="dxa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副高级专技人才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26.6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70" w:hRule="atLeast"/>
          <w:tblCellSpacing w:w="0" w:type="dxa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color w:val="111F2C"/>
                <w:sz w:val="24"/>
                <w:szCs w:val="24"/>
                <w:shd w:val="clear" w:fill="FFFFFF"/>
              </w:rPr>
              <w:t>全日制博士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45.4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5.4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1500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长兴县中医院高层次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政策</w:t>
      </w:r>
    </w:p>
    <w:p>
      <w:pPr>
        <w:spacing w:line="400" w:lineRule="exact"/>
        <w:ind w:firstLine="5766" w:firstLineChars="2400"/>
        <w:rPr>
          <w:rFonts w:hint="eastAsia" w:ascii="黑体" w:eastAsia="黑体"/>
          <w:b/>
          <w:sz w:val="24"/>
          <w:szCs w:val="24"/>
        </w:rPr>
      </w:pPr>
    </w:p>
    <w:tbl>
      <w:tblPr>
        <w:tblStyle w:val="10"/>
        <w:tblW w:w="93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1265"/>
        <w:gridCol w:w="1105"/>
        <w:gridCol w:w="1935"/>
        <w:gridCol w:w="1015"/>
      </w:tblGrid>
      <w:tr>
        <w:trPr>
          <w:trHeight w:val="617" w:hRule="atLeast"/>
        </w:trPr>
        <w:tc>
          <w:tcPr>
            <w:tcW w:w="4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  <w:t>人才类别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  <w:t>医院激励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en-US" w:eastAsia="zh-CN" w:bidi="zh-CN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 w:bidi="zh-CN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  <w:t>购房补贴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  <w:t>科研启动基金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4"/>
                <w:szCs w:val="24"/>
                <w:lang w:val="zh-CN" w:bidi="zh-CN"/>
              </w:rPr>
              <w:t>租房补贴（或两年周转房）</w:t>
            </w:r>
          </w:p>
        </w:tc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833" w:hRule="atLeast"/>
        </w:trPr>
        <w:tc>
          <w:tcPr>
            <w:tcW w:w="400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正高职称，博士学历学位，三甲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工作经历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年以上，任地市级医学会专业委员会副主任委员及以上，或省级医学会专业委员会委员及以上；或具有正高级专业技术职称，省级及以上重点学科带头人。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1600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*2年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133.84万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86" w:hRule="atLeast"/>
        </w:trPr>
        <w:tc>
          <w:tcPr>
            <w:tcW w:w="400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正高职称，硕士及以上学历学位，三甲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医院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工作经历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年以上；或具有正高级专业技术职称，市级及以上重点学科带头人。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万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万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1600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*2年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113.84万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51" w:hRule="atLeast"/>
        </w:trPr>
        <w:tc>
          <w:tcPr>
            <w:tcW w:w="400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副高职称，本科以上学历学位，三级医院工作经历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年以上；紧缺岗位，本科及以上学历学位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二甲医院工作经历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</w:rPr>
              <w:t>年以上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万元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*2年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22.88万</w:t>
            </w:r>
          </w:p>
        </w:tc>
      </w:tr>
    </w:tbl>
    <w:p/>
    <w:p/>
    <w:p/>
    <w:p/>
    <w:p/>
    <w:p/>
    <w:p>
      <w:pPr>
        <w:spacing w:line="4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附件1：           </w:t>
      </w:r>
    </w:p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  2021年高层次人才引进招聘计划表</w:t>
      </w:r>
    </w:p>
    <w:tbl>
      <w:tblPr>
        <w:tblStyle w:val="9"/>
        <w:tblW w:w="10622" w:type="dxa"/>
        <w:tblInd w:w="-9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570"/>
        <w:gridCol w:w="1275"/>
        <w:gridCol w:w="2055"/>
        <w:gridCol w:w="2115"/>
        <w:gridCol w:w="1920"/>
        <w:gridCol w:w="870"/>
        <w:gridCol w:w="752"/>
      </w:tblGrid>
      <w:tr>
        <w:trPr>
          <w:trHeight w:val="5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单位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可报专业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学历条件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</w:t>
            </w:r>
          </w:p>
        </w:tc>
      </w:tr>
      <w:tr>
        <w:trPr>
          <w:trHeight w:val="42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长兴县中医院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（共6名）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急诊重症医学科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临床医学/内科学/急诊医学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县外引进人员可聘在相应的高级岗位、县内引进的聘在十二级</w:t>
            </w:r>
          </w:p>
        </w:tc>
        <w:tc>
          <w:tcPr>
            <w:tcW w:w="7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执业范围符合岗位要求</w:t>
            </w:r>
          </w:p>
        </w:tc>
      </w:tr>
      <w:tr>
        <w:trPr>
          <w:trHeight w:val="44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心血管内科介入方向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临床医学/内科学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rPr>
          <w:trHeight w:val="4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临床医学/妇产科学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甲乳外科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临床医学/外科学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rPr>
          <w:trHeight w:val="39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神经内科介入方向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临床医学/内科学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rPr>
          <w:trHeight w:val="44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临床医学/外科学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副高及以上职称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rPr>
          <w:trHeight w:val="45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  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--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560" w:lineRule="exact"/>
        <w:ind w:left="0" w:left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pStyle w:val="2"/>
        <w:spacing w:line="560" w:lineRule="exact"/>
        <w:ind w:left="42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2021年长兴县县级公立医院高层次人才引进报名登记表</w:t>
      </w:r>
    </w:p>
    <w:tbl>
      <w:tblPr>
        <w:tblStyle w:val="9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9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0" w:hRule="atLeast"/>
          <w:jc w:val="center"/>
        </w:trPr>
        <w:tc>
          <w:tcPr>
            <w:tcW w:w="9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申请人（签名）：            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szCs w:val="21"/>
              </w:rPr>
              <w:t xml:space="preserve">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5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p>
      <w:pPr>
        <w:pStyle w:val="2"/>
        <w:spacing w:line="560" w:lineRule="exact"/>
        <w:ind w:left="0" w:leftChars="0"/>
        <w:rPr>
          <w:rFonts w:hint="eastAsia" w:asci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917F"/>
    <w:multiLevelType w:val="singleLevel"/>
    <w:tmpl w:val="58C1917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0E88"/>
    <w:rsid w:val="5A0E0E88"/>
    <w:rsid w:val="79E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color w:val="333333"/>
      <w:sz w:val="21"/>
      <w:szCs w:val="21"/>
      <w:shd w:val="clear" w:fill="F8F8F8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irst-child"/>
    <w:basedOn w:val="4"/>
    <w:qFormat/>
    <w:uiPriority w:val="0"/>
  </w:style>
  <w:style w:type="character" w:customStyle="1" w:styleId="12">
    <w:name w:val="layui-layer-tabnow"/>
    <w:basedOn w:val="4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2021-05-05T08:19:00Z</dcterms:created>
  <dc:creator>江南</dc:creator>
  <cp:lastModifiedBy>sijia</cp:lastModifiedBy>
  <dcterms:modified xsi:type="dcterms:W3CDTF">2021-05-05T10:09:15Z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3539AD9214DC49ADA75E7CC175691614</vt:lpwstr>
  </property>
</Properties>
</file>