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002" w:rsidRDefault="00C6786F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皖南医学院弋矶山医院</w:t>
      </w:r>
      <w:r>
        <w:rPr>
          <w:rFonts w:hint="eastAsia"/>
          <w:b/>
          <w:sz w:val="28"/>
          <w:szCs w:val="28"/>
        </w:rPr>
        <w:t>临床病理</w:t>
      </w:r>
      <w:r>
        <w:rPr>
          <w:rFonts w:hint="eastAsia"/>
          <w:b/>
          <w:sz w:val="28"/>
          <w:szCs w:val="28"/>
        </w:rPr>
        <w:t>科住培基地</w:t>
      </w:r>
      <w:bookmarkStart w:id="0" w:name="_GoBack"/>
      <w:bookmarkEnd w:id="0"/>
      <w:r w:rsidR="00771002">
        <w:rPr>
          <w:rFonts w:hint="eastAsia"/>
          <w:b/>
          <w:sz w:val="28"/>
          <w:szCs w:val="28"/>
        </w:rPr>
        <w:t>简介</w:t>
      </w:r>
    </w:p>
    <w:p w:rsidR="0053518A" w:rsidRDefault="00C6786F">
      <w:pPr>
        <w:widowControl/>
        <w:shd w:val="clear" w:color="auto" w:fill="FFFFFF"/>
        <w:ind w:firstLine="384"/>
        <w:rPr>
          <w:rFonts w:ascii="微软雅黑" w:eastAsia="宋体" w:hAnsi="微软雅黑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基本情况和师资：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皖南医学院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弋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矶山医院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病理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科是安徽省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卫生厅“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重点培育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学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科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，也是皖南地区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疑难病例会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诊及科研中心。科室集“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医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、教、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研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”为一体，现有工作人员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31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人；其中博士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人，在读博士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人；硕士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10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人。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我科目前为安徽省设备最先进、技术最全面病理科之一，现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有原位杂交研究室、肾脏病理室、细胞病理室、肿瘤个体化治疗研究室免疫组化室、分子遗传室等。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br/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为适应医院的发展需求，结合科室自身特点，初步探索出一条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专科病理建设的道路，在个人兴趣和自愿的基础上，我们先后成立了乳腺及妇科病理研究室、淋巴瘤病理研究室、肾脏病理研究室、消化道病理研究室、内分泌病理研究室、呼吸道病理研究室、肿瘤细胞病理研究室等，向专科病理建设迈出坚实的一步，也是目前安徽省首家成立亚专科病理的病理科。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br/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诊疗优势：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病理科坚持医疗、教学、科研多方位发展，不断开展新技术、新项目，为临床和病人提供优质服务，目前多项技术处于安徽省领先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/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先进地位，如基于宫颈鳞状上皮增生性病变中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p16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及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Ki-67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的联合应用、内镜黏膜下剥除术（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ESD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）标本病理学规范化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检查的细化及改良、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PD-1/PD-L1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免疫组化检测在非小细胞肺癌中的应用、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FISH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检测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MYC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BCL2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、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BCL6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基因重排在高级别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B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细胞淋巴瘤中的应用等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。</w:t>
      </w:r>
    </w:p>
    <w:p w:rsidR="0053518A" w:rsidRDefault="00C6786F">
      <w:pPr>
        <w:widowControl/>
        <w:shd w:val="clear" w:color="auto" w:fill="FFFFFF"/>
        <w:ind w:firstLineChars="200" w:firstLine="590"/>
        <w:rPr>
          <w:rFonts w:ascii="微软雅黑" w:eastAsia="微软雅黑" w:hAnsi="微软雅黑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科研优势：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目前学科负责人及技术骨干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在中华病理学分会及安徽省病理学分会等各种学会任职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。科室积极开展教学科研研究，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lastRenderedPageBreak/>
        <w:t>承担各级科研课题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，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每年均在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SCI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论文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及各级期刊发表多篇论文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，每年均举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办国家级继续教育项目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。</w:t>
      </w:r>
    </w:p>
    <w:p w:rsidR="0053518A" w:rsidRDefault="00C6786F">
      <w:pPr>
        <w:widowControl/>
        <w:shd w:val="clear" w:color="auto" w:fill="FFFFFF"/>
        <w:ind w:firstLine="384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21EAA"/>
          <w:spacing w:val="7"/>
          <w:kern w:val="0"/>
          <w:sz w:val="28"/>
          <w:szCs w:val="28"/>
        </w:rPr>
        <w:t>教学优势：</w:t>
      </w:r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教学科研方面，承担了皖南医学院各个专业包括研究生等学科教学任务，多人多次获得教学竞赛“优胜奖”；并积极参与申报各种教学课题。科室每周定期开展小讲座、疑难</w:t>
      </w:r>
      <w:proofErr w:type="gramStart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病理读</w:t>
      </w:r>
      <w:proofErr w:type="gramEnd"/>
      <w:r>
        <w:rPr>
          <w:rFonts w:ascii="宋体" w:eastAsia="宋体" w:hAnsi="宋体" w:cs="宋体" w:hint="eastAsia"/>
          <w:color w:val="333333"/>
          <w:spacing w:val="7"/>
          <w:kern w:val="0"/>
          <w:sz w:val="28"/>
          <w:szCs w:val="28"/>
        </w:rPr>
        <w:t>片、阅片及取材技能培训等。</w:t>
      </w:r>
    </w:p>
    <w:p w:rsidR="0053518A" w:rsidRDefault="0053518A">
      <w:pPr>
        <w:widowControl/>
        <w:shd w:val="clear" w:color="auto" w:fill="FFFFFF"/>
        <w:ind w:firstLine="384"/>
        <w:rPr>
          <w:rFonts w:ascii="宋体" w:eastAsia="宋体" w:hAnsi="宋体" w:cs="宋体"/>
          <w:color w:val="333333"/>
          <w:spacing w:val="7"/>
          <w:kern w:val="0"/>
          <w:sz w:val="28"/>
          <w:szCs w:val="28"/>
        </w:rPr>
      </w:pPr>
    </w:p>
    <w:sectPr w:rsidR="0053518A" w:rsidSect="005351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86F" w:rsidRDefault="00C6786F" w:rsidP="00771002">
      <w:r>
        <w:separator/>
      </w:r>
    </w:p>
  </w:endnote>
  <w:endnote w:type="continuationSeparator" w:id="0">
    <w:p w:rsidR="00C6786F" w:rsidRDefault="00C6786F" w:rsidP="00771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86F" w:rsidRDefault="00C6786F" w:rsidP="00771002">
      <w:r>
        <w:separator/>
      </w:r>
    </w:p>
  </w:footnote>
  <w:footnote w:type="continuationSeparator" w:id="0">
    <w:p w:rsidR="00C6786F" w:rsidRDefault="00C6786F" w:rsidP="007710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1D8"/>
    <w:rsid w:val="00065A35"/>
    <w:rsid w:val="000E3685"/>
    <w:rsid w:val="00391DB2"/>
    <w:rsid w:val="00490EFB"/>
    <w:rsid w:val="0053518A"/>
    <w:rsid w:val="006A2AFB"/>
    <w:rsid w:val="00771002"/>
    <w:rsid w:val="007D394D"/>
    <w:rsid w:val="007E0D64"/>
    <w:rsid w:val="009144C8"/>
    <w:rsid w:val="00C17E45"/>
    <w:rsid w:val="00C546DC"/>
    <w:rsid w:val="00C6786F"/>
    <w:rsid w:val="00CF2620"/>
    <w:rsid w:val="00DD41D8"/>
    <w:rsid w:val="023F4D9E"/>
    <w:rsid w:val="039F7760"/>
    <w:rsid w:val="094F0BFF"/>
    <w:rsid w:val="0A0C6614"/>
    <w:rsid w:val="0A6F136D"/>
    <w:rsid w:val="126653CC"/>
    <w:rsid w:val="14C36A45"/>
    <w:rsid w:val="209D2C39"/>
    <w:rsid w:val="23F00913"/>
    <w:rsid w:val="2C2E7C41"/>
    <w:rsid w:val="2E681826"/>
    <w:rsid w:val="2F9A60BA"/>
    <w:rsid w:val="30E07393"/>
    <w:rsid w:val="387B6DFC"/>
    <w:rsid w:val="3B790694"/>
    <w:rsid w:val="3D07424F"/>
    <w:rsid w:val="3E5D7D74"/>
    <w:rsid w:val="40C46B1F"/>
    <w:rsid w:val="466B5753"/>
    <w:rsid w:val="4ACB0830"/>
    <w:rsid w:val="55D33548"/>
    <w:rsid w:val="575A502A"/>
    <w:rsid w:val="5C2C5F6C"/>
    <w:rsid w:val="62C93323"/>
    <w:rsid w:val="6EBC1B6F"/>
    <w:rsid w:val="752B0E9F"/>
    <w:rsid w:val="788E3FAF"/>
    <w:rsid w:val="7A8E1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1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35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535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53518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351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112</Words>
  <Characters>644</Characters>
  <Application>Microsoft Office Word</Application>
  <DocSecurity>0</DocSecurity>
  <Lines>5</Lines>
  <Paragraphs>1</Paragraphs>
  <ScaleCrop>false</ScaleCrop>
  <Company>Microsoft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朱荣</dc:creator>
  <cp:lastModifiedBy>朱荣</cp:lastModifiedBy>
  <cp:revision>7</cp:revision>
  <dcterms:created xsi:type="dcterms:W3CDTF">2021-03-02T08:19:00Z</dcterms:created>
  <dcterms:modified xsi:type="dcterms:W3CDTF">2021-03-12T01:47:00Z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