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055" w:rsidRPr="002453C9" w:rsidRDefault="00404927" w:rsidP="002453C9">
      <w:pPr>
        <w:spacing w:line="360" w:lineRule="auto"/>
        <w:jc w:val="center"/>
        <w:rPr>
          <w:rStyle w:val="NormalCharacter"/>
          <w:rFonts w:ascii="宋体" w:hAnsi="宋体"/>
          <w:b/>
          <w:sz w:val="32"/>
          <w:szCs w:val="32"/>
        </w:rPr>
      </w:pPr>
      <w:r w:rsidRPr="002453C9">
        <w:rPr>
          <w:rStyle w:val="NormalCharacter"/>
          <w:rFonts w:ascii="宋体" w:hAnsi="宋体"/>
          <w:b/>
          <w:sz w:val="32"/>
          <w:szCs w:val="32"/>
        </w:rPr>
        <w:t>皖南医学院</w:t>
      </w:r>
      <w:proofErr w:type="gramStart"/>
      <w:r w:rsidRPr="002453C9">
        <w:rPr>
          <w:rStyle w:val="NormalCharacter"/>
          <w:rFonts w:ascii="宋体" w:hAnsi="宋体"/>
          <w:b/>
          <w:sz w:val="32"/>
          <w:szCs w:val="32"/>
        </w:rPr>
        <w:t>弋</w:t>
      </w:r>
      <w:proofErr w:type="gramEnd"/>
      <w:r w:rsidRPr="002453C9">
        <w:rPr>
          <w:rStyle w:val="NormalCharacter"/>
          <w:rFonts w:ascii="宋体" w:hAnsi="宋体"/>
          <w:b/>
          <w:sz w:val="32"/>
          <w:szCs w:val="32"/>
        </w:rPr>
        <w:t>矶山医院</w:t>
      </w:r>
      <w:r w:rsidRPr="002453C9">
        <w:rPr>
          <w:rStyle w:val="NormalCharacter"/>
          <w:rFonts w:ascii="宋体" w:hAnsi="宋体"/>
          <w:b/>
          <w:sz w:val="32"/>
          <w:szCs w:val="32"/>
        </w:rPr>
        <w:t>儿科</w:t>
      </w:r>
      <w:r w:rsidR="002453C9" w:rsidRPr="002453C9">
        <w:rPr>
          <w:rStyle w:val="NormalCharacter"/>
          <w:rFonts w:ascii="宋体" w:hAnsi="宋体" w:hint="eastAsia"/>
          <w:b/>
          <w:sz w:val="32"/>
          <w:szCs w:val="32"/>
        </w:rPr>
        <w:t>住培</w:t>
      </w:r>
      <w:r w:rsidRPr="002453C9">
        <w:rPr>
          <w:rStyle w:val="NormalCharacter"/>
          <w:rFonts w:ascii="宋体" w:hAnsi="宋体"/>
          <w:b/>
          <w:sz w:val="32"/>
          <w:szCs w:val="32"/>
        </w:rPr>
        <w:t>基地</w:t>
      </w:r>
      <w:r w:rsidR="002453C9" w:rsidRPr="002453C9">
        <w:rPr>
          <w:rStyle w:val="NormalCharacter"/>
          <w:rFonts w:ascii="宋体" w:hAnsi="宋体" w:hint="eastAsia"/>
          <w:b/>
          <w:sz w:val="32"/>
          <w:szCs w:val="32"/>
        </w:rPr>
        <w:t>简介</w:t>
      </w:r>
    </w:p>
    <w:p w:rsidR="00105055" w:rsidRDefault="00404927">
      <w:pPr>
        <w:spacing w:line="360" w:lineRule="auto"/>
        <w:rPr>
          <w:rStyle w:val="NormalCharacter"/>
          <w:rFonts w:ascii="黑体" w:eastAsia="黑体" w:hAnsi="黑体"/>
          <w:sz w:val="30"/>
          <w:szCs w:val="30"/>
        </w:rPr>
      </w:pPr>
      <w:r>
        <w:rPr>
          <w:rStyle w:val="NormalCharacter"/>
          <w:rFonts w:ascii="宋体" w:hAnsi="宋体"/>
          <w:b/>
          <w:sz w:val="24"/>
        </w:rPr>
        <w:t xml:space="preserve"> </w:t>
      </w:r>
      <w:r>
        <w:rPr>
          <w:rStyle w:val="NormalCharacter"/>
          <w:rFonts w:ascii="黑体" w:eastAsia="黑体" w:hAnsi="黑体" w:cs="Times New Roman"/>
          <w:bCs/>
          <w:sz w:val="30"/>
          <w:szCs w:val="30"/>
        </w:rPr>
        <w:t>基本情况和师资</w:t>
      </w:r>
    </w:p>
    <w:p w:rsidR="00105055" w:rsidRPr="002453C9" w:rsidRDefault="00404927" w:rsidP="002453C9">
      <w:pPr>
        <w:shd w:val="clear" w:color="auto" w:fill="FFFFFF"/>
        <w:ind w:firstLineChars="200" w:firstLine="588"/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</w:pP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儿科是皖南医学院</w:t>
      </w:r>
      <w:proofErr w:type="gramStart"/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弋</w:t>
      </w:r>
      <w:proofErr w:type="gramEnd"/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矶山医院早期设立的科室之一，二十世纪八十年代初设立了新生儿病房、大无陪病房及爱婴病房（母婴同室），获得了国家级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“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爱婴医院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”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光荣称号。近年儿科发展迅速，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现有普儿病区、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PICU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及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NICU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，拥有血液、呼吸、消化、肾脏、内分泌、神经、儿童保健等专业。共有床位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100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张，医师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40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人，护士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55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人，主任、副主任医师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12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人，主管护师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12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人，硕士学位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15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人，硕士生导师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8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人。</w:t>
      </w:r>
      <w:proofErr w:type="gramStart"/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年门急诊</w:t>
      </w:r>
      <w:proofErr w:type="gramEnd"/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量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13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万余人次，年住院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5000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余人次，年抢救治疗危重病人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1550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余人次。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NICU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现为安徽省危重新生儿救治中心，先天性心脏病、小儿白血病是安徽省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“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新农合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”</w:t>
      </w:r>
      <w:r w:rsidRPr="002453C9"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重点补贴的小儿重大疾病首批定点诊治单位。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儿科基地</w:t>
      </w:r>
      <w:proofErr w:type="gramStart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规</w:t>
      </w:r>
      <w:proofErr w:type="gramEnd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培学员近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3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年来结业考核通过率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100%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。</w:t>
      </w:r>
    </w:p>
    <w:p w:rsidR="00105055" w:rsidRDefault="00404927" w:rsidP="002453C9">
      <w:pPr>
        <w:shd w:val="clear" w:color="auto" w:fill="FFFFFF"/>
        <w:ind w:firstLineChars="200" w:firstLine="588"/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</w:pP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儿科目前拥有一流的监测诊疗设备，各型呼吸机（高频、常频、无创）十余台、各型监护仪数十台、肺功能仪、</w:t>
      </w:r>
      <w:proofErr w:type="gramStart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纤</w:t>
      </w:r>
      <w:proofErr w:type="gramEnd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支镜、无创心功能仪、床边视频脑电监护仪、床边血气分析仪、亚低温治疗仪、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NO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治疗仪、骨密度检测仪、视力筛查仪、多动症测试仪等。</w:t>
      </w:r>
    </w:p>
    <w:p w:rsidR="00105055" w:rsidRDefault="00404927">
      <w:pPr>
        <w:spacing w:line="360" w:lineRule="auto"/>
        <w:jc w:val="left"/>
        <w:rPr>
          <w:rStyle w:val="NormalCharacter"/>
          <w:rFonts w:ascii="黑体" w:eastAsia="黑体" w:hAnsi="黑体"/>
          <w:sz w:val="30"/>
          <w:szCs w:val="30"/>
        </w:rPr>
      </w:pPr>
      <w:r>
        <w:rPr>
          <w:rStyle w:val="NormalCharacter"/>
          <w:rFonts w:ascii="黑体" w:eastAsia="黑体" w:hAnsi="黑体"/>
          <w:sz w:val="30"/>
          <w:szCs w:val="30"/>
        </w:rPr>
        <w:t>诊疗优势</w:t>
      </w:r>
    </w:p>
    <w:p w:rsidR="00105055" w:rsidRDefault="00404927">
      <w:pPr>
        <w:shd w:val="clear" w:color="auto" w:fill="FFFFFF"/>
        <w:ind w:firstLineChars="200" w:firstLine="588"/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</w:pP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常规开展</w:t>
      </w:r>
      <w:proofErr w:type="gramStart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各类普儿科</w:t>
      </w:r>
      <w:proofErr w:type="gramEnd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和新生儿科常见病、危重症的诊断治疗，常规开展床旁</w:t>
      </w:r>
      <w:proofErr w:type="gramStart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纤</w:t>
      </w:r>
      <w:proofErr w:type="gramEnd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支镜检查和治疗、</w:t>
      </w:r>
      <w:r>
        <w:rPr>
          <w:rStyle w:val="NormalCharacter"/>
          <w:rFonts w:ascii="宋体" w:hAnsi="宋体" w:hint="eastAsia"/>
          <w:color w:val="333333"/>
          <w:spacing w:val="7"/>
          <w:kern w:val="0"/>
          <w:sz w:val="28"/>
          <w:szCs w:val="28"/>
        </w:rPr>
        <w:t>儿童先心病介入治疗、</w:t>
      </w:r>
      <w:bookmarkStart w:id="0" w:name="_GoBack"/>
      <w:bookmarkEnd w:id="0"/>
      <w:proofErr w:type="gramStart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无创心功能</w:t>
      </w:r>
      <w:proofErr w:type="gramEnd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测定、脑电监护、亚低温治疗、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NO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治疗、换血治疗、中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lastRenderedPageBreak/>
        <w:t>心静脉置管、危重患儿营养支持、感染监测和控制、矮小症及性早熟诊治、白血病化疗等。</w:t>
      </w:r>
    </w:p>
    <w:p w:rsidR="00105055" w:rsidRDefault="00404927">
      <w:pPr>
        <w:shd w:val="clear" w:color="auto" w:fill="FFFFFF"/>
        <w:rPr>
          <w:rStyle w:val="NormalCharacter"/>
          <w:rFonts w:ascii="黑体" w:eastAsia="黑体" w:hAnsi="黑体"/>
          <w:sz w:val="30"/>
          <w:szCs w:val="30"/>
        </w:rPr>
      </w:pPr>
      <w:r>
        <w:rPr>
          <w:rStyle w:val="NormalCharacter"/>
          <w:rFonts w:ascii="黑体" w:eastAsia="黑体" w:hAnsi="黑体"/>
          <w:sz w:val="30"/>
          <w:szCs w:val="30"/>
        </w:rPr>
        <w:t>科研优势</w:t>
      </w:r>
    </w:p>
    <w:p w:rsidR="00105055" w:rsidRPr="002453C9" w:rsidRDefault="00404927">
      <w:pPr>
        <w:shd w:val="clear" w:color="auto" w:fill="FFFFFF"/>
        <w:ind w:firstLineChars="200" w:firstLine="588"/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</w:pP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目前学科负责人及技术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骨干分别担任了安徽省医学会儿科学分会副主委及常务委员，安徽省医学会围产医学分会常务委员，安徽省医师协会儿科医师分会副主委及常务委员，安徽省医师协会新生儿科医师分会及儿童重症医师分会副主任委员，安徽省医师协会儿童重症医师分会委员、安徽省全科医学会儿科学分会副主任委员、安徽省变态反应学会副主任委员，安徽省抗癫痫协会副会长、安徽省全科医学会罕见病委员会常委，安徽省抗癫痫协会第四届理事会理事等职务。科室积极开展教学科研研究，近五年来开展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“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三新项目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”11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项；承担省级课题有七项，发表论文约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80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余篇，其中国家级杂志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31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篇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，</w:t>
      </w:r>
      <w:proofErr w:type="spellStart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medline</w:t>
      </w:r>
      <w:proofErr w:type="spellEnd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及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SCI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收录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10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余篇，参</w:t>
      </w:r>
      <w:proofErr w:type="gramStart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编专业</w:t>
      </w:r>
      <w:proofErr w:type="gramEnd"/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著作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5</w:t>
      </w: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部，每年均举办省级继续教育学习班。</w:t>
      </w:r>
    </w:p>
    <w:p w:rsidR="00105055" w:rsidRDefault="00404927">
      <w:pPr>
        <w:shd w:val="clear" w:color="auto" w:fill="FFFFFF"/>
        <w:rPr>
          <w:rStyle w:val="NormalCharacter"/>
          <w:rFonts w:ascii="黑体" w:eastAsia="黑体" w:hAnsi="黑体"/>
          <w:sz w:val="30"/>
          <w:szCs w:val="30"/>
        </w:rPr>
      </w:pPr>
      <w:r>
        <w:rPr>
          <w:rStyle w:val="NormalCharacter"/>
          <w:rFonts w:ascii="黑体" w:eastAsia="黑体" w:hAnsi="黑体"/>
          <w:sz w:val="30"/>
          <w:szCs w:val="30"/>
        </w:rPr>
        <w:t>教学优势</w:t>
      </w:r>
    </w:p>
    <w:p w:rsidR="00105055" w:rsidRDefault="00404927">
      <w:pPr>
        <w:shd w:val="clear" w:color="auto" w:fill="FFFFFF"/>
        <w:ind w:firstLineChars="200" w:firstLine="588"/>
        <w:rPr>
          <w:rStyle w:val="NormalCharacter"/>
          <w:rFonts w:ascii="微软雅黑" w:eastAsia="微软雅黑" w:hAnsi="微软雅黑"/>
          <w:color w:val="333333"/>
          <w:spacing w:val="7"/>
          <w:kern w:val="0"/>
          <w:sz w:val="28"/>
          <w:szCs w:val="28"/>
        </w:rPr>
      </w:pPr>
      <w:r>
        <w:rPr>
          <w:rStyle w:val="NormalCharacter"/>
          <w:rFonts w:ascii="宋体" w:hAnsi="宋体"/>
          <w:color w:val="333333"/>
          <w:spacing w:val="7"/>
          <w:kern w:val="0"/>
          <w:sz w:val="28"/>
          <w:szCs w:val="28"/>
        </w:rPr>
        <w:t>医院模拟教学中心配有国内一流的模拟教学设备，可以完成儿科各种临床操作的模拟培训。科室每周定期开展教授查房、危重疑难病例讨论、文献阅读及分析讲座、科研及技能培训。</w:t>
      </w:r>
    </w:p>
    <w:p w:rsidR="00105055" w:rsidRDefault="00105055">
      <w:pPr>
        <w:spacing w:line="360" w:lineRule="auto"/>
        <w:ind w:firstLineChars="200" w:firstLine="600"/>
        <w:rPr>
          <w:rStyle w:val="NormalCharacter"/>
          <w:rFonts w:ascii="宋体" w:hAnsi="宋体"/>
          <w:sz w:val="30"/>
          <w:szCs w:val="30"/>
        </w:rPr>
      </w:pPr>
    </w:p>
    <w:p w:rsidR="00105055" w:rsidRDefault="00105055">
      <w:pPr>
        <w:spacing w:line="360" w:lineRule="auto"/>
        <w:rPr>
          <w:rStyle w:val="NormalCharacter"/>
          <w:rFonts w:ascii="黑体" w:eastAsia="黑体" w:hAnsi="黑体"/>
          <w:sz w:val="30"/>
          <w:szCs w:val="30"/>
        </w:rPr>
      </w:pPr>
    </w:p>
    <w:sectPr w:rsidR="00105055" w:rsidSect="00105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927" w:rsidRDefault="00404927" w:rsidP="002453C9">
      <w:r>
        <w:separator/>
      </w:r>
    </w:p>
  </w:endnote>
  <w:endnote w:type="continuationSeparator" w:id="0">
    <w:p w:rsidR="00404927" w:rsidRDefault="00404927" w:rsidP="00245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927" w:rsidRDefault="00404927" w:rsidP="002453C9">
      <w:r>
        <w:separator/>
      </w:r>
    </w:p>
  </w:footnote>
  <w:footnote w:type="continuationSeparator" w:id="0">
    <w:p w:rsidR="00404927" w:rsidRDefault="00404927" w:rsidP="002453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105055"/>
    <w:rsid w:val="00105055"/>
    <w:rsid w:val="002453C9"/>
    <w:rsid w:val="00404927"/>
    <w:rsid w:val="4D903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rsid w:val="00105055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105055"/>
  </w:style>
  <w:style w:type="table" w:customStyle="1" w:styleId="TableNormal">
    <w:name w:val="TableNormal"/>
    <w:semiHidden/>
    <w:qFormat/>
    <w:rsid w:val="001050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lainText">
    <w:name w:val="PlainText"/>
    <w:basedOn w:val="a"/>
    <w:rsid w:val="00105055"/>
    <w:pPr>
      <w:snapToGrid w:val="0"/>
      <w:spacing w:after="200"/>
      <w:jc w:val="left"/>
    </w:pPr>
    <w:rPr>
      <w:rFonts w:ascii="宋体" w:eastAsia="微软雅黑" w:hAnsi="Courier New"/>
      <w:kern w:val="0"/>
      <w:sz w:val="22"/>
      <w:szCs w:val="21"/>
    </w:rPr>
  </w:style>
  <w:style w:type="paragraph" w:styleId="a3">
    <w:name w:val="header"/>
    <w:basedOn w:val="a"/>
    <w:link w:val="Char"/>
    <w:rsid w:val="002453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453C9"/>
    <w:rPr>
      <w:kern w:val="2"/>
      <w:sz w:val="18"/>
      <w:szCs w:val="18"/>
    </w:rPr>
  </w:style>
  <w:style w:type="paragraph" w:styleId="a4">
    <w:name w:val="footer"/>
    <w:basedOn w:val="a"/>
    <w:link w:val="Char0"/>
    <w:rsid w:val="002453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453C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146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朱荣</cp:lastModifiedBy>
  <cp:revision>2</cp:revision>
  <dcterms:created xsi:type="dcterms:W3CDTF">2021-03-11T14:10:00Z</dcterms:created>
  <dcterms:modified xsi:type="dcterms:W3CDTF">2021-03-12T01:46:00Z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