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69"/>
        </w:tabs>
        <w:spacing w:line="5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附件1</w:t>
      </w:r>
      <w:r>
        <w:rPr>
          <w:b/>
          <w:bCs/>
          <w:sz w:val="28"/>
          <w:szCs w:val="28"/>
        </w:rPr>
        <w:tab/>
      </w:r>
    </w:p>
    <w:p>
      <w:pPr>
        <w:spacing w:line="500" w:lineRule="exact"/>
        <w:jc w:val="center"/>
        <w:rPr>
          <w:b/>
          <w:bCs/>
          <w:sz w:val="28"/>
          <w:szCs w:val="28"/>
        </w:rPr>
      </w:pPr>
      <w:r>
        <w:rPr>
          <w:b/>
          <w:bCs/>
          <w:kern w:val="0"/>
          <w:sz w:val="32"/>
          <w:szCs w:val="32"/>
        </w:rPr>
        <w:t>《</w:t>
      </w:r>
      <w:bookmarkStart w:id="0" w:name="_GoBack"/>
      <w:r>
        <w:rPr>
          <w:b/>
          <w:bCs/>
          <w:kern w:val="0"/>
          <w:sz w:val="32"/>
          <w:szCs w:val="32"/>
        </w:rPr>
        <w:t>2021年度高校毕业生需求信息表</w:t>
      </w:r>
      <w:bookmarkEnd w:id="0"/>
      <w:r>
        <w:rPr>
          <w:b/>
          <w:bCs/>
          <w:kern w:val="0"/>
          <w:sz w:val="32"/>
          <w:szCs w:val="32"/>
        </w:rPr>
        <w:t>》</w:t>
      </w: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70"/>
        <w:gridCol w:w="867"/>
        <w:gridCol w:w="2524"/>
        <w:gridCol w:w="665"/>
        <w:gridCol w:w="248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b/>
                <w:kern w:val="0"/>
                <w:szCs w:val="21"/>
              </w:rPr>
              <w:t>职位编号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部门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岗位</w:t>
            </w:r>
          </w:p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需求</w:t>
            </w:r>
          </w:p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人数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学历等其他要求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党委办公室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政治学类、哲学类、新闻传播学类、马克思主义理论类、社会学类或相关专业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中共党员，京内生源。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所办公室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图书情报与档案管理类、文秘类、基础医学类、中医学类或相关专业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纪检监察审计室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经济学类、法学类、法律实务类、财政学类、财务会计类或相关专业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中共党员，京内生源。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针灸机能研究室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仪器科学与技术类、电子信息类、基础医学类、生物学类、生物科学类或相关专业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博士研究生，京内生源。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针灸机能研究室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中医学类、中西医结合类、基础医学类或相关专业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博士研究生，京外生源。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经络研究中心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中医学类、中西医结合类、基础医学类或相关专业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博士研究生，京外生源。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腧穴结构研究室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中医学类、中西医结合类、基础医学类或相关专业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博士研究生，京外生源。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针灸生化与分子生物学研究室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基础医学类、生物科学类或相关专业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硕士研究生及以上学历，京内生源。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针灸循证医学中心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中西医结合类、公共卫生与预防医学类、中医学类或相关专业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ind w:right="-777" w:rightChars="-37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硕士研究生及以上学历，</w:t>
            </w:r>
          </w:p>
          <w:p>
            <w:pPr>
              <w:snapToGrid w:val="0"/>
              <w:spacing w:line="300" w:lineRule="exact"/>
              <w:ind w:right="-777" w:rightChars="-37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京内生源。临床流行病学、</w:t>
            </w:r>
          </w:p>
          <w:p>
            <w:pPr>
              <w:snapToGrid w:val="0"/>
              <w:spacing w:line="300" w:lineRule="exact"/>
              <w:ind w:right="-777" w:rightChars="-37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循证医学、医学统计学专</w:t>
            </w:r>
          </w:p>
          <w:p>
            <w:pPr>
              <w:snapToGrid w:val="0"/>
              <w:spacing w:line="300" w:lineRule="exact"/>
              <w:ind w:right="-777" w:rightChars="-37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业优先。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ind w:right="-777" w:rightChars="-370" w:firstLine="100" w:firstLineChars="5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针灸医院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临床医学类或相关专业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京内生源。医学影像学专业优先。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针灸医院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护理学类、护理类或相关专业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针灸医院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临床医学类、中医学类或相关专业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硕士研究生及以上学历，京内生源。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北京国际针灸培训中心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财务会计类或相关专业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大学本科及以上学历，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京内生源。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45AC3"/>
    <w:rsid w:val="09B45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2021-04-21T10:41:00Z</dcterms:created>
  <dc:creator>user</dc:creator>
  <cp:lastModifiedBy>user</cp:lastModifiedBy>
  <dcterms:modified xsi:type="dcterms:W3CDTF">2021-04-21T10:42:45Z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