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2021年丽水市中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心</w:t>
      </w:r>
      <w:r>
        <w:rPr>
          <w:rFonts w:hint="eastAsia" w:ascii="方正小标宋简体" w:eastAsia="方正小标宋简体"/>
          <w:sz w:val="44"/>
          <w:szCs w:val="44"/>
        </w:rPr>
        <w:t>医院引进高层次人才招聘岗位及数量</w:t>
      </w:r>
    </w:p>
    <w:tbl>
      <w:tblPr>
        <w:tblStyle w:val="3"/>
        <w:tblpPr w:leftFromText="180" w:rightFromText="180" w:vertAnchor="text" w:horzAnchor="page" w:tblpX="1076" w:tblpY="615"/>
        <w:tblOverlap w:val="never"/>
        <w:tblW w:w="102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928"/>
        <w:gridCol w:w="1350"/>
        <w:gridCol w:w="768"/>
        <w:gridCol w:w="1913"/>
        <w:gridCol w:w="1725"/>
        <w:gridCol w:w="1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所需专业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儿科医生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临床医学、儿科学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具有执业医师资格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耳鼻咽喉科医生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耳鼻咽喉科学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放疗科医生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内科学、肿瘤学、放疗学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风湿免疫科医生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临床医学、内科学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妇产科医生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妇产科学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泌尿外科医生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外科学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心血管内科医生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临床医学、内科学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修复重建、手外科医生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临床医学、外科学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血管外科医生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临床医学、外科学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眼科医生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临床医学、眼科学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整形外科医生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临床医学、皮肤病与性病学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肿瘤内科医生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临床医学、内科学、肿瘤学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肛肠外科医生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临床医学、外科学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药学部药师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药理学、药物管理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放射诊断医生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学影像学、临床医学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具有副主任医师职称的可放宽至本科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超声诊断医生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医学影像学、临床医学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脑电图医生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重症医学科医生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“双一流”大学全日制毕业生可放宽至本科/学士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神经内科医生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临床医学、内科学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研究生/硕士</w:t>
            </w: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重点实验室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科研人员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专业技术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食品创新学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研究生/博士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</w:tbl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B"/>
    <w:rsid w:val="00016699"/>
    <w:rsid w:val="000623CA"/>
    <w:rsid w:val="00283D7B"/>
    <w:rsid w:val="004E5C55"/>
    <w:rsid w:val="00822EC0"/>
    <w:rsid w:val="00BF302F"/>
    <w:rsid w:val="00E866CE"/>
    <w:rsid w:val="02606D37"/>
    <w:rsid w:val="11997CE2"/>
    <w:rsid w:val="181E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821</Characters>
  <Lines>6</Lines>
  <Paragraphs>1</Paragraphs>
  <TotalTime>5</TotalTime>
  <ScaleCrop>false</ScaleCrop>
  <LinksUpToDate>false</LinksUpToDate>
  <CharactersWithSpaces>963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2021-03-16T03:32:00Z</dcterms:created>
  <dc:creator>L</dc:creator>
  <cp:lastModifiedBy>Administrator</cp:lastModifiedBy>
  <dcterms:modified xsi:type="dcterms:W3CDTF">2021-03-26T06:24:07Z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