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方正小标宋简体" w:hAnsi="黑体" w:eastAsia="方正小标宋简体" w:cs="Arial"/>
          <w:kern w:val="0"/>
          <w:sz w:val="36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28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28"/>
          <w:lang w:eastAsia="zh-CN"/>
        </w:rPr>
        <w:t>：</w:t>
      </w:r>
      <w:r>
        <w:rPr>
          <w:rFonts w:hint="eastAsia" w:ascii="仿宋" w:hAnsi="仿宋" w:eastAsia="仿宋" w:cs="仿宋"/>
          <w:kern w:val="0"/>
          <w:sz w:val="32"/>
          <w:szCs w:val="28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afterLines="50" w:line="640" w:lineRule="exact"/>
        <w:jc w:val="center"/>
        <w:textAlignment w:val="auto"/>
        <w:rPr>
          <w:rFonts w:ascii="楷体_GB2312" w:hAnsi="仿宋" w:eastAsia="楷体_GB2312" w:cs="Arial"/>
          <w:kern w:val="0"/>
          <w:sz w:val="28"/>
          <w:szCs w:val="28"/>
        </w:rPr>
      </w:pPr>
      <w:bookmarkStart w:id="0" w:name="_GoBack"/>
      <w:r>
        <w:rPr>
          <w:rFonts w:hint="eastAsia" w:ascii="方正小标宋简体" w:hAnsi="黑体" w:eastAsia="方正小标宋简体" w:cs="Arial"/>
          <w:kern w:val="0"/>
          <w:sz w:val="44"/>
          <w:szCs w:val="44"/>
        </w:rPr>
        <w:t>202</w:t>
      </w:r>
      <w:r>
        <w:rPr>
          <w:rFonts w:hint="eastAsia" w:ascii="方正小标宋简体" w:hAnsi="黑体" w:eastAsia="方正小标宋简体" w:cs="Arial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黑体" w:eastAsia="方正小标宋简体" w:cs="Arial"/>
          <w:kern w:val="0"/>
          <w:sz w:val="44"/>
          <w:szCs w:val="44"/>
        </w:rPr>
        <w:t>年晋城市市直企事业单位引进</w:t>
      </w:r>
      <w:r>
        <w:rPr>
          <w:rFonts w:hint="eastAsia" w:ascii="方正小标宋简体" w:hAnsi="黑体" w:eastAsia="方正小标宋简体" w:cs="Arial"/>
          <w:kern w:val="0"/>
          <w:sz w:val="44"/>
          <w:szCs w:val="44"/>
          <w:lang w:val="en-US" w:eastAsia="zh-CN"/>
        </w:rPr>
        <w:t>急需紧缺</w:t>
      </w:r>
      <w:r>
        <w:rPr>
          <w:rFonts w:hint="eastAsia" w:ascii="方正小标宋简体" w:hAnsi="黑体" w:eastAsia="方正小标宋简体" w:cs="Arial"/>
          <w:kern w:val="0"/>
          <w:sz w:val="44"/>
          <w:szCs w:val="44"/>
        </w:rPr>
        <w:t>人才岗位表</w:t>
      </w:r>
    </w:p>
    <w:bookmarkEnd w:id="0"/>
    <w:p>
      <w:pPr>
        <w:spacing w:line="100" w:lineRule="exact"/>
        <w:rPr>
          <w:rFonts w:ascii="宋体" w:hAnsi="宋体" w:cs="Arial"/>
          <w:kern w:val="0"/>
          <w:sz w:val="24"/>
        </w:rPr>
      </w:pPr>
    </w:p>
    <w:tbl>
      <w:tblPr>
        <w:tblStyle w:val="3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637"/>
        <w:gridCol w:w="1240"/>
        <w:gridCol w:w="1240"/>
        <w:gridCol w:w="963"/>
        <w:gridCol w:w="1652"/>
        <w:gridCol w:w="3090"/>
        <w:gridCol w:w="215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1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主管单位</w:t>
            </w:r>
          </w:p>
        </w:tc>
        <w:tc>
          <w:tcPr>
            <w:tcW w:w="16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引进人才单位</w:t>
            </w:r>
          </w:p>
        </w:tc>
        <w:tc>
          <w:tcPr>
            <w:tcW w:w="12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单位性质</w:t>
            </w:r>
          </w:p>
        </w:tc>
        <w:tc>
          <w:tcPr>
            <w:tcW w:w="12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岗位类别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引进人数</w:t>
            </w:r>
          </w:p>
        </w:tc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学历要求</w:t>
            </w:r>
          </w:p>
        </w:tc>
        <w:tc>
          <w:tcPr>
            <w:tcW w:w="3090" w:type="dxa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专业要求</w:t>
            </w:r>
          </w:p>
        </w:tc>
        <w:tc>
          <w:tcPr>
            <w:tcW w:w="2155" w:type="dxa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其他条件要求</w:t>
            </w:r>
          </w:p>
        </w:tc>
        <w:tc>
          <w:tcPr>
            <w:tcW w:w="1005" w:type="dxa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exact"/>
          <w:jc w:val="center"/>
        </w:trPr>
        <w:tc>
          <w:tcPr>
            <w:tcW w:w="1192" w:type="dxa"/>
            <w:vMerge w:val="restart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晋城市卫生健康委员会</w:t>
            </w: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晋城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市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人民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医院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差额事业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医疗卫生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（专技）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1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研究生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内科学（神经病学、心血管内科、消化内科、呼吸内科）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外科学（神经外科、普通外科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骨科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）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妇产科等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年龄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及以下，具有执业医师资格证。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exact"/>
          <w:jc w:val="center"/>
        </w:trPr>
        <w:tc>
          <w:tcPr>
            <w:tcW w:w="1192" w:type="dxa"/>
            <w:vMerge w:val="continue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6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晋城市妇幼保健院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全额事业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乳腺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病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医疗团队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（专技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1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硕士研究生及以上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学历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1、年龄在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周岁及以下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，具有执业医师资格证。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2、团队中至少有一名副主任医师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。（副主任医师年龄可放宽至45周岁）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副高及以上职称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者学历要求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可放宽至本科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192" w:type="dxa"/>
            <w:vMerge w:val="continue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全额事业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儿童眼科医师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（专技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硕士研究生及以上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学历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1、年龄在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周岁及以下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，具有执业医师资格证。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副高及以上职称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者学历要求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可放宽至本科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192" w:type="dxa"/>
            <w:vMerge w:val="continue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全额事业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儿童耳鼻喉科医师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（专技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硕士研究生及以上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学历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1、年龄在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周岁及以下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，具有执业医师资格证。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副高及以上职称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者学历要求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可放宽至本科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858C3"/>
    <w:rsid w:val="2CB8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2021-02-28T01:18:00Z</dcterms:created>
  <dc:creator>jm</dc:creator>
  <cp:lastModifiedBy>jm</cp:lastModifiedBy>
  <dcterms:modified xsi:type="dcterms:W3CDTF">2021-02-28T01:19:34Z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