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永和县卫生健康系统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公开招聘事业单位专业技术人员报名表</w:t>
      </w:r>
      <w:bookmarkStart w:id="0" w:name="_GoBack"/>
      <w:bookmarkEnd w:id="0"/>
    </w:p>
    <w:tbl>
      <w:tblPr>
        <w:tblStyle w:val="2"/>
        <w:tblW w:w="969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426"/>
        <w:gridCol w:w="1146"/>
        <w:gridCol w:w="1471"/>
        <w:gridCol w:w="911"/>
        <w:gridCol w:w="1441"/>
        <w:gridCol w:w="15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 贯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现住址(通联地址)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取得资格证书时间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是否有执业证书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注册执业范围</w:t>
            </w: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历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位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第一学历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历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位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是否定向委培应届生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定向委培单位是否同意</w:t>
            </w: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现工作单位和主管部门是否同意报考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是否具有应聘岗位要求的工作经历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服务基层项目名称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是否服务期满并考核合格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16" w:firstLineChars="20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审核者签名：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B05A8"/>
    <w:rsid w:val="1FBB05A8"/>
    <w:rsid w:val="7D9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2020-12-01T02:31:00Z</dcterms:created>
  <dc:creator>夜梓幽</dc:creator>
  <cp:lastModifiedBy>甲虫fighting</cp:lastModifiedBy>
  <dcterms:modified xsi:type="dcterms:W3CDTF">2020-12-11T02:08:06Z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