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fill="FFFFFF"/>
        </w:rPr>
        <w:t>大兴安岭地区第二人民医院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2020年公开招聘事业单位工作人员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补充公告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645"/>
        <w:jc w:val="both"/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我院于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1月21日发布了《大兴安岭地区第二人民医院2020年公开招聘事业单位工作人员公告》，涉及14个岗位（拟招聘30人）。根据上级有关要求进行变更。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120" w:right="0" w:firstLine="645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1、“具有统招全日制大专及以上学历”变更为“具备招聘专业的统招本科及以上学历”。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120" w:right="0" w:firstLine="645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2、招聘条件中的年龄变更：“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高级职称年龄可放宽至40周岁及以下”变更为“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具备执业（助理）医师资格者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年龄可放宽至40周岁及以下”。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3、招聘条件中的岗位数量变更：“由原14个岗位变更为16个岗位”，增加了中医人才的招聘。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420" w:right="0" w:firstLine="315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详见“附件1：《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2020年大兴安岭地区第二人民医院公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开招聘工作人员计划表》”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特此补充公告，望周知。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3045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地区二院事业单位招聘工作领导小组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4485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2020年8月18日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1440"/>
        <w:jc w:val="both"/>
      </w:pPr>
      <w:r>
        <w:rPr>
          <w:rStyle w:val="6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2020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年大兴安岭地区第二人民医院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right="0" w:firstLine="2168" w:firstLineChars="600"/>
        <w:jc w:val="both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公开招聘工作人员计划表</w:t>
      </w:r>
    </w:p>
    <w:tbl>
      <w:tblPr>
        <w:tblStyle w:val="4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767"/>
        <w:gridCol w:w="450"/>
        <w:gridCol w:w="783"/>
        <w:gridCol w:w="1389"/>
        <w:gridCol w:w="855"/>
        <w:gridCol w:w="2623"/>
        <w:gridCol w:w="717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</w:trPr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代码</w:t>
            </w:r>
          </w:p>
        </w:tc>
        <w:tc>
          <w:tcPr>
            <w:tcW w:w="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招聘单位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招聘人数</w:t>
            </w:r>
          </w:p>
        </w:tc>
        <w:tc>
          <w:tcPr>
            <w:tcW w:w="7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招聘岗位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2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7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在职/毕业生</w:t>
            </w:r>
          </w:p>
        </w:tc>
        <w:tc>
          <w:tcPr>
            <w:tcW w:w="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内科医生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具备执业（助理）医师资格者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外科医生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具备执业（助理）医师资格者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妇产科医生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具备执业（助理）医师资格者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康复科医生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康复医学或临床医学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具备执业（助理）医师资格者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影像诊断医生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医学影像诊断学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具备执业（助理）医师资格者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药剂科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康复治疗学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中医内科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中医外科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中医妇科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中医儿科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中医皮肤科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中医针灸科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针推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推拿科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针推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</w:trPr>
        <w:tc>
          <w:tcPr>
            <w:tcW w:w="4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地区二院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中医治未科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统招本科及以上学历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35周岁及以下；</w:t>
            </w:r>
            <w:r>
              <w:rPr>
                <w:rStyle w:val="6"/>
                <w:rFonts w:hint="default" w:ascii="仿宋_GB2312" w:eastAsia="仿宋_GB2312" w:cs="仿宋_GB2312"/>
                <w:b/>
                <w:color w:val="000000"/>
                <w:sz w:val="24"/>
                <w:szCs w:val="24"/>
                <w:shd w:val="clear" w:fill="FFFFFF"/>
              </w:rPr>
              <w:t>具备执业医师资格者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年龄可放宽至40周岁及以下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</w:rPr>
              <w:t>不限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B7190"/>
    <w:rsid w:val="129F7001"/>
    <w:rsid w:val="3EFD0A96"/>
    <w:rsid w:val="43DB7190"/>
    <w:rsid w:val="7F2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2020-08-18T03:28:00Z</dcterms:created>
  <dc:creator>敏</dc:creator>
  <cp:lastModifiedBy>敏</cp:lastModifiedBy>
  <cp:lastPrinted>2020-08-18T03:28:00Z</cp:lastPrinted>
  <dcterms:modified xsi:type="dcterms:W3CDTF">2020-08-24T09:35:54Z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