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创艺简标宋" w:hAnsi="创艺简标宋" w:eastAsia="创艺简标宋" w:cs="创艺简标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color w:val="auto"/>
          <w:sz w:val="32"/>
          <w:szCs w:val="32"/>
          <w:lang w:val="en-US" w:eastAsia="zh-CN"/>
        </w:rPr>
        <w:t>招 聘 岗 位</w:t>
      </w:r>
    </w:p>
    <w:tbl>
      <w:tblPr>
        <w:tblStyle w:val="3"/>
        <w:tblW w:w="1406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1148"/>
        <w:gridCol w:w="1612"/>
        <w:gridCol w:w="9834"/>
        <w:gridCol w:w="44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位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用工性质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任职基本要求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浙江萧山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老年医院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文学、管理学、哲学、公共卫生等相关专业，本科及以上学历，35周岁以下，中共党员优先。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后勤管理员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医学信息工程等相关专业，本科及以上学历，35周岁以下，有医院设备管理经验者优先。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西医临床专业，应届生，本科学历，35周岁以下。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临床医学、中西医结合专业，本科及以上学历。熟练掌握老年常见病、多发病的诊治流程与操作规范。初级已规培或中级职称。研究生、中级职称、有二甲及以上医院工作经验者优先。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4" w:hRule="atLeast"/>
        </w:trPr>
        <w:tc>
          <w:tcPr>
            <w:tcW w:w="10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放射技师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劳动合同制</w:t>
            </w:r>
          </w:p>
        </w:tc>
        <w:tc>
          <w:tcPr>
            <w:tcW w:w="9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放射相关专业，大专及以上学历；35周岁以下，初级及以上职称；二甲及以上医院3年以上工作经验优先。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83D1B"/>
    <w:rsid w:val="0C7F0268"/>
    <w:rsid w:val="4C8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2020-06-17T01:27:00Z</dcterms:created>
  <dc:creator>S.Gissing</dc:creator>
  <cp:lastModifiedBy>S.Gissing</cp:lastModifiedBy>
  <cp:lastPrinted>2020-06-17T01:28:00Z</cp:lastPrinted>
  <dcterms:modified xsi:type="dcterms:W3CDTF">2020-06-17T01:35:07Z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