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480" w:lineRule="auto"/>
        <w:ind w:right="0" w:firstLine="0"/>
        <w:jc w:val="both"/>
        <w:rPr>
          <w:rFonts w:hint="default" w:ascii="微软雅黑" w:hAnsi="微软雅黑" w:eastAsia="微软雅黑"/>
          <w:b/>
          <w:color w:val="auto"/>
          <w:position w:val="0"/>
          <w:sz w:val="24"/>
          <w:szCs w:val="24"/>
        </w:rPr>
      </w:pPr>
      <w:bookmarkStart w:id="0" w:name="_GoBack"/>
      <w:bookmarkEnd w:id="0"/>
    </w:p>
    <w:p>
      <w:pPr>
        <w:numPr>
          <w:ilvl w:val="0"/>
          <w:numId w:val="0"/>
        </w:numPr>
        <w:autoSpaceDE/>
        <w:autoSpaceDN/>
        <w:spacing w:before="0" w:after="0" w:line="480" w:lineRule="auto"/>
        <w:ind w:right="0" w:firstLine="602"/>
        <w:jc w:val="center"/>
        <w:rPr>
          <w:rFonts w:hint="default" w:ascii="微软雅黑" w:hAnsi="微软雅黑" w:eastAsia="微软雅黑"/>
          <w:b/>
          <w:color w:val="auto"/>
          <w:position w:val="0"/>
          <w:sz w:val="32"/>
          <w:szCs w:val="32"/>
        </w:rPr>
      </w:pPr>
      <w:r>
        <w:rPr>
          <w:rFonts w:hint="default" w:ascii="微软雅黑" w:hAnsi="微软雅黑" w:eastAsia="微软雅黑"/>
          <w:b/>
          <w:color w:val="auto"/>
          <w:position w:val="0"/>
          <w:sz w:val="32"/>
          <w:szCs w:val="32"/>
        </w:rPr>
        <w:t>2020年用人需求一览表</w:t>
      </w:r>
    </w:p>
    <w:tbl>
      <w:tblPr>
        <w:tblStyle w:val="25"/>
        <w:tblpPr w:leftFromText="180" w:rightFromText="180" w:vertAnchor="text" w:horzAnchor="page" w:tblpX="1213" w:tblpY="383"/>
        <w:tblW w:w="102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9"/>
        <w:gridCol w:w="993"/>
        <w:gridCol w:w="1275"/>
        <w:gridCol w:w="1276"/>
        <w:gridCol w:w="992"/>
        <w:gridCol w:w="1418"/>
        <w:gridCol w:w="2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/>
                <w:color w:val="000000"/>
                <w:position w:val="0"/>
                <w:sz w:val="24"/>
                <w:szCs w:val="24"/>
              </w:rPr>
              <w:t>序号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/>
                <w:color w:val="000000"/>
                <w:position w:val="0"/>
                <w:sz w:val="24"/>
                <w:szCs w:val="24"/>
              </w:rPr>
              <w:t>岗位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/>
                <w:color w:val="000000"/>
                <w:position w:val="0"/>
                <w:sz w:val="24"/>
                <w:szCs w:val="24"/>
              </w:rPr>
              <w:t>人数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/>
                <w:color w:val="000000"/>
                <w:position w:val="0"/>
                <w:sz w:val="24"/>
                <w:szCs w:val="24"/>
              </w:rPr>
              <w:t>是否应届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/>
                <w:color w:val="000000"/>
                <w:position w:val="0"/>
                <w:sz w:val="24"/>
                <w:szCs w:val="24"/>
              </w:rPr>
              <w:t>专业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/>
                <w:color w:val="000000"/>
                <w:position w:val="0"/>
                <w:sz w:val="24"/>
                <w:szCs w:val="24"/>
              </w:rPr>
              <w:t>学历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/>
                <w:color w:val="000000"/>
                <w:position w:val="0"/>
                <w:sz w:val="24"/>
                <w:szCs w:val="24"/>
              </w:rPr>
              <w:t>用工类型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/>
                <w:color w:val="000000"/>
                <w:position w:val="0"/>
                <w:sz w:val="24"/>
                <w:szCs w:val="24"/>
              </w:rPr>
              <w:t>其它要求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临床医师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皮肤病与性病学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博士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进编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护士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专业技术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药学科研岗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博士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进编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药剂调配岗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专业技能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医学科研岗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生物医学及相关专业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博士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进编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熟悉掌握电生理研究技术及皮肤遗传学相关研究背景者优先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 xml:space="preserve">研究助理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生物医学及相关专业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硕士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研究助理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熟练掌握分子生物学实验技能，有第一作者SCI论文发表者优先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检验技术员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临床检验诊断学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技能/技术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检验技术员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临床检验诊断学/医学检验技术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专业技能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宣传岗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新闻与传播相关专业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硕士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专业技术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管理岗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卫生事业管理及相关专业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硕士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专业技术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财务管理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财经相关专业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硕士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专业技术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网络中心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硕士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专业技术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图书馆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医学信息管理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技能/技术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8"/>
                <w:szCs w:val="28"/>
              </w:rPr>
              <w:t>合计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微软雅黑" w:hAnsi="微软雅黑" w:eastAsia="微软雅黑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/>
                <w:color w:val="000000"/>
                <w:position w:val="0"/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微软雅黑" w:hAnsi="微软雅黑" w:eastAsia="微软雅黑"/>
                <w:color w:val="000000"/>
                <w:position w:val="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480" w:lineRule="auto"/>
        <w:ind w:right="0" w:firstLine="0"/>
        <w:jc w:val="both"/>
        <w:rPr>
          <w:rFonts w:hint="default" w:ascii="宋体" w:hAnsi="宋体" w:eastAsia="宋体"/>
          <w:color w:val="000000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480" w:lineRule="auto"/>
        <w:ind w:right="0" w:firstLine="0"/>
        <w:jc w:val="both"/>
        <w:rPr>
          <w:rFonts w:hint="default" w:ascii="微软雅黑" w:hAnsi="微软雅黑" w:eastAsia="微软雅黑"/>
          <w:b/>
          <w:color w:val="auto"/>
          <w:position w:val="0"/>
          <w:sz w:val="24"/>
          <w:szCs w:val="24"/>
        </w:rPr>
      </w:pPr>
      <w:r>
        <w:rPr>
          <w:rFonts w:hint="default" w:ascii="微软雅黑" w:hAnsi="微软雅黑" w:eastAsia="微软雅黑"/>
          <w:color w:val="000000"/>
          <w:position w:val="0"/>
          <w:sz w:val="24"/>
          <w:szCs w:val="24"/>
        </w:rPr>
        <w:t>说明：非应届生限毕业三年内,有特殊要求的除外。护理学、检验、药学、卫生管理等专业参加省卫生系统统一考试，统考网站报名，请关注院所官网后续通知。</w:t>
      </w:r>
    </w:p>
    <w:p>
      <w:pPr>
        <w:numPr>
          <w:ilvl w:val="0"/>
          <w:numId w:val="0"/>
        </w:numPr>
        <w:autoSpaceDE/>
        <w:autoSpaceDN/>
        <w:spacing w:before="0" w:after="0" w:line="480" w:lineRule="auto"/>
        <w:ind w:right="0" w:firstLine="602"/>
        <w:jc w:val="center"/>
        <w:rPr>
          <w:rFonts w:hint="default" w:ascii="微软雅黑" w:hAnsi="微软雅黑" w:eastAsia="微软雅黑"/>
          <w:b/>
          <w:color w:val="auto"/>
          <w:position w:val="0"/>
          <w:sz w:val="30"/>
          <w:szCs w:val="30"/>
        </w:rPr>
      </w:pPr>
    </w:p>
    <w:p>
      <w:pPr>
        <w:numPr>
          <w:ilvl w:val="0"/>
          <w:numId w:val="0"/>
        </w:numPr>
        <w:autoSpaceDE/>
        <w:autoSpaceDN/>
        <w:spacing w:before="0" w:after="0" w:line="480" w:lineRule="auto"/>
        <w:ind w:right="0" w:firstLine="602"/>
        <w:jc w:val="center"/>
        <w:rPr>
          <w:rFonts w:hint="default" w:ascii="Calibri" w:hAnsi="Times New Roman" w:eastAsia="Times New Roman"/>
          <w:b/>
          <w:color w:val="auto"/>
          <w:position w:val="0"/>
          <w:sz w:val="30"/>
          <w:szCs w:val="30"/>
        </w:rPr>
      </w:pPr>
    </w:p>
    <w:p>
      <w:pPr>
        <w:numPr>
          <w:ilvl w:val="0"/>
          <w:numId w:val="0"/>
        </w:numPr>
        <w:autoSpaceDE/>
        <w:autoSpaceDN/>
        <w:spacing w:before="0" w:after="0" w:line="480" w:lineRule="auto"/>
        <w:ind w:right="0" w:firstLine="602"/>
        <w:jc w:val="center"/>
        <w:rPr>
          <w:rFonts w:hint="default" w:ascii="Calibri" w:hAnsi="Times New Roman" w:eastAsia="Times New Roman"/>
          <w:b/>
          <w:color w:val="auto"/>
          <w:position w:val="0"/>
          <w:sz w:val="30"/>
          <w:szCs w:val="30"/>
        </w:rPr>
      </w:pPr>
    </w:p>
    <w:p>
      <w:pPr>
        <w:numPr>
          <w:ilvl w:val="0"/>
          <w:numId w:val="0"/>
        </w:numPr>
        <w:autoSpaceDE/>
        <w:autoSpaceDN/>
        <w:spacing w:before="0" w:after="0" w:line="480" w:lineRule="auto"/>
        <w:ind w:right="0" w:firstLine="602"/>
        <w:jc w:val="center"/>
        <w:rPr>
          <w:rFonts w:hint="default" w:ascii="Calibri" w:hAnsi="Times New Roman" w:eastAsia="Times New Roman"/>
          <w:b/>
          <w:color w:val="auto"/>
          <w:position w:val="0"/>
          <w:sz w:val="30"/>
          <w:szCs w:val="30"/>
        </w:rPr>
      </w:pPr>
    </w:p>
    <w:p>
      <w:pPr>
        <w:numPr>
          <w:ilvl w:val="0"/>
          <w:numId w:val="0"/>
        </w:numPr>
        <w:autoSpaceDE/>
        <w:autoSpaceDN/>
        <w:spacing w:before="0" w:after="0" w:line="480" w:lineRule="auto"/>
        <w:ind w:right="0" w:firstLine="602"/>
        <w:jc w:val="center"/>
        <w:rPr>
          <w:rFonts w:hint="default" w:ascii="Calibri" w:hAnsi="Times New Roman" w:eastAsia="Times New Roman"/>
          <w:b/>
          <w:color w:val="auto"/>
          <w:position w:val="0"/>
          <w:sz w:val="30"/>
          <w:szCs w:val="30"/>
        </w:rPr>
      </w:pPr>
    </w:p>
    <w:p>
      <w:pPr>
        <w:numPr>
          <w:ilvl w:val="0"/>
          <w:numId w:val="0"/>
        </w:numPr>
        <w:autoSpaceDE/>
        <w:autoSpaceDN/>
        <w:spacing w:before="0" w:after="0" w:line="480" w:lineRule="auto"/>
        <w:ind w:right="0" w:firstLine="602"/>
        <w:jc w:val="center"/>
        <w:rPr>
          <w:rFonts w:hint="default" w:ascii="Calibri" w:hAnsi="Times New Roman" w:eastAsia="Times New Roman"/>
          <w:b/>
          <w:color w:val="auto"/>
          <w:position w:val="0"/>
          <w:sz w:val="30"/>
          <w:szCs w:val="30"/>
        </w:rPr>
      </w:pPr>
    </w:p>
    <w:p>
      <w:pPr>
        <w:numPr>
          <w:ilvl w:val="0"/>
          <w:numId w:val="0"/>
        </w:numPr>
        <w:autoSpaceDE/>
        <w:autoSpaceDN/>
        <w:spacing w:before="0" w:after="0" w:line="480" w:lineRule="auto"/>
        <w:ind w:right="0" w:firstLine="602"/>
        <w:jc w:val="center"/>
        <w:rPr>
          <w:rFonts w:hint="default" w:ascii="Calibri" w:hAnsi="宋体" w:eastAsia="宋体"/>
          <w:b/>
          <w:color w:val="auto"/>
          <w:position w:val="0"/>
          <w:sz w:val="30"/>
          <w:szCs w:val="30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sectPr>
      <w:pgSz w:w="11906" w:h="16838"/>
      <w:pgMar w:top="1440" w:right="1800" w:bottom="993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5"/>
  </w:compat>
  <w:rsids>
    <w:rsidRoot w:val="00000000"/>
    <w:rsid w:val="78DF6422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152" w:name="header"/>
    <w:lsdException w:uiPriority="154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156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158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Calibri" w:hAnsi="Calibri" w:eastAsia="宋体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Calibri" w:hAnsi="Calibri" w:eastAsia="宋体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Calibri" w:hAnsi="Calibri" w:eastAsia="宋体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character" w:default="1" w:styleId="26">
    <w:name w:val="Default Paragraph Font"/>
    <w:semiHidden/>
    <w:unhideWhenUsed/>
    <w:uiPriority w:val="2"/>
  </w:style>
  <w:style w:type="table" w:default="1" w:styleId="25">
    <w:name w:val="Normal Table"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5">
    <w:name w:val="Body Text Indent 2"/>
    <w:basedOn w:val="1"/>
    <w:link w:val="42"/>
    <w:uiPriority w:val="156"/>
    <w:pPr>
      <w:widowControl/>
      <w:wordWrap/>
      <w:autoSpaceDE/>
      <w:autoSpaceDN/>
      <w:ind w:left="304" w:firstLine="627"/>
    </w:pPr>
    <w:rPr>
      <w:rFonts w:ascii="仿宋_GB2312" w:hAnsi="仿宋_GB2312" w:eastAsia="Times New Roman"/>
      <w:w w:val="100"/>
      <w:sz w:val="32"/>
      <w:szCs w:val="32"/>
      <w:shd w:val="clear"/>
    </w:rPr>
  </w:style>
  <w:style w:type="paragraph" w:styleId="16">
    <w:name w:val="footer"/>
    <w:basedOn w:val="1"/>
    <w:link w:val="41"/>
    <w:semiHidden/>
    <w:unhideWhenUsed/>
    <w:uiPriority w:val="154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7">
    <w:name w:val="header"/>
    <w:basedOn w:val="1"/>
    <w:link w:val="40"/>
    <w:semiHidden/>
    <w:unhideWhenUsed/>
    <w:uiPriority w:val="152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  <w:style w:type="paragraph" w:styleId="18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9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0">
    <w:name w:val="Subtitle"/>
    <w:qFormat/>
    <w:uiPriority w:val="16"/>
    <w:pPr>
      <w:widowControl/>
      <w:wordWrap/>
      <w:autoSpaceDE/>
      <w:autoSpaceDN/>
      <w:jc w:val="center"/>
    </w:pPr>
    <w:rPr>
      <w:rFonts w:ascii="Calibri" w:hAnsi="Calibri" w:eastAsia="宋体"/>
      <w:w w:val="100"/>
      <w:sz w:val="24"/>
      <w:szCs w:val="24"/>
      <w:shd w:val="clear"/>
    </w:rPr>
  </w:style>
  <w:style w:type="paragraph" w:styleId="21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2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3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4">
    <w:name w:val="Title"/>
    <w:qFormat/>
    <w:uiPriority w:val="6"/>
    <w:pPr>
      <w:widowControl/>
      <w:wordWrap/>
      <w:autoSpaceDE/>
      <w:autoSpaceDN/>
      <w:jc w:val="center"/>
    </w:pPr>
    <w:rPr>
      <w:rFonts w:ascii="Calibri" w:hAnsi="Calibri" w:eastAsia="宋体"/>
      <w:b/>
      <w:w w:val="100"/>
      <w:sz w:val="32"/>
      <w:szCs w:val="32"/>
      <w:shd w:val="clear"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/>
    </w:rPr>
  </w:style>
  <w:style w:type="character" w:styleId="29">
    <w:name w:val="Hyperlink"/>
    <w:basedOn w:val="26"/>
    <w:unhideWhenUsed/>
    <w:uiPriority w:val="158"/>
    <w:rPr>
      <w:color w:val="0000FF" w:themeColor="hyperlink"/>
      <w:w w:val="100"/>
      <w:sz w:val="20"/>
      <w:szCs w:val="20"/>
      <w:u w:val="single"/>
      <w:shd w:val="clear"/>
      <w14:textFill>
        <w14:solidFill>
          <w14:schemeClr w14:val="hlink"/>
        </w14:solidFill>
      </w14:textFill>
    </w:rPr>
  </w:style>
  <w:style w:type="paragraph" w:styleId="30">
    <w:name w:val="No Spacing"/>
    <w:qFormat/>
    <w:uiPriority w:val="5"/>
    <w:pPr>
      <w:widowControl/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character" w:customStyle="1" w:styleId="31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2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3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Calibri" w:hAnsi="Calibri" w:eastAsia="宋体"/>
      <w:i/>
      <w:color w:val="404040"/>
      <w:w w:val="100"/>
      <w:sz w:val="21"/>
      <w:szCs w:val="21"/>
      <w:shd w:val="clear"/>
    </w:rPr>
  </w:style>
  <w:style w:type="paragraph" w:styleId="34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Calibri" w:hAnsi="Calibri" w:eastAsia="宋体"/>
      <w:i/>
      <w:color w:val="5B9BD5"/>
      <w:w w:val="100"/>
      <w:sz w:val="21"/>
      <w:szCs w:val="21"/>
      <w:shd w:val="clear"/>
    </w:rPr>
  </w:style>
  <w:style w:type="character" w:customStyle="1" w:styleId="35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6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7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8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customStyle="1" w:styleId="39">
    <w:name w:val="TOC Heading"/>
    <w:unhideWhenUsed/>
    <w:qFormat/>
    <w:uiPriority w:val="27"/>
    <w:pPr>
      <w:widowControl/>
      <w:wordWrap/>
      <w:autoSpaceDE/>
      <w:autoSpaceDN/>
    </w:pPr>
    <w:rPr>
      <w:rFonts w:ascii="Calibri" w:hAnsi="Calibri" w:eastAsia="宋体"/>
      <w:color w:val="2E74B5"/>
      <w:w w:val="100"/>
      <w:sz w:val="32"/>
      <w:szCs w:val="32"/>
      <w:shd w:val="clear"/>
    </w:rPr>
  </w:style>
  <w:style w:type="character" w:customStyle="1" w:styleId="40">
    <w:name w:val="页眉 Char"/>
    <w:basedOn w:val="26"/>
    <w:link w:val="17"/>
    <w:semiHidden/>
    <w:uiPriority w:val="153"/>
    <w:rPr>
      <w:w w:val="100"/>
      <w:sz w:val="18"/>
      <w:szCs w:val="18"/>
      <w:shd w:val="clear"/>
    </w:rPr>
  </w:style>
  <w:style w:type="character" w:customStyle="1" w:styleId="41">
    <w:name w:val="页脚 Char"/>
    <w:basedOn w:val="26"/>
    <w:link w:val="16"/>
    <w:semiHidden/>
    <w:uiPriority w:val="155"/>
    <w:rPr>
      <w:w w:val="100"/>
      <w:sz w:val="18"/>
      <w:szCs w:val="18"/>
      <w:shd w:val="clear"/>
    </w:rPr>
  </w:style>
  <w:style w:type="character" w:customStyle="1" w:styleId="42">
    <w:name w:val="正文文本缩进 2 Char"/>
    <w:basedOn w:val="26"/>
    <w:link w:val="15"/>
    <w:uiPriority w:val="157"/>
    <w:rPr>
      <w:rFonts w:ascii="仿宋_GB2312" w:hAnsi="仿宋_GB2312" w:eastAsia="Times New Roman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番茄花园</Company>
  <Pages>3</Pages>
  <Words>180</Words>
  <Characters>0</Characters>
  <Lines>8</Lines>
  <Paragraphs>2</Paragraphs>
  <TotalTime>3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2019-12-12T03:08:18Z</dcterms:created>
  <dc:creator>番茄花园</dc:creator>
  <cp:lastModifiedBy>Administrator</cp:lastModifiedBy>
  <dcterms:modified xsi:type="dcterms:W3CDTF">2019-12-12T03:12:18Z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